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ATAS/305/2022 vom 28. März 2022</w:t>
      </w:r>
    </w:p>
    <w:p>
      <w:r>
        <w:t>GE Cour de justice, 2022-03-28, FR</w:t>
      </w:r>
    </w:p>
    <w:p>
      <w:r>
        <w:rPr>
          <w:b/>
        </w:rPr>
        <w:t xml:space="preserve">Quelle: </w:t>
      </w:r>
      <w:r>
        <w:t>https://mcp.opencaselaw.ch/entscheid/ge_gerichte_ATAS_305_2022</w:t>
      </w:r>
    </w:p>
    <w:p>
      <w:r>
        <w:t>FR: GE_GERICHTE ATAS/305/2022 du 28 mars 2022</w:t>
      </w:r>
    </w:p>
    <w:p>
      <w:r>
        <w:t>IT: GE_GERICHTE ATAS/305/2022 del 28 marzo 2022</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A/3036/2021 - 6/12 - du 6 octobre 2000 (LPGA - RS 830.1) relatives à la loi fédérale sur l'assurance- accidents, du 20 mars 1981 (LAA - RS 832.20). Sa compétence pour juger du cas d’espèce est ainsi établie.</w:t>
      </w:r>
    </w:p>
    <w:p>
      <w:r>
        <w:rPr>
          <w:b/>
        </w:rPr>
        <w:t>E. 1.2</w:t>
      </w:r>
    </w:p>
    <w:p>
      <w:r>
        <w:t>Le recours, interjeté dans les formes et délai prévus par la loi, est recevable (art. 56 à 60 LPGA).</w:t>
      </w:r>
    </w:p>
    <w:p>
      <w:r>
        <w:rPr>
          <w:b/>
        </w:rPr>
        <w:t>E. 2</w:t>
      </w:r>
    </w:p>
    <w:p>
      <w:r>
        <w:t>Le recours porte sur le droit de la recourante à des prestations d'accident à la suite de l'événement du 17 décembre 2020.</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w:t>
      </w:r>
    </w:p>
    <w:p>
      <w:r>
        <w:rPr>
          <w:b/>
        </w:rPr>
        <w:t>E. 3.2</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 les déchirures de tendons (let. f); les lésions de ligaments (let. g); les lésions du tympan (let. h).</w:t>
      </w:r>
    </w:p>
    <w:p>
      <w:r>
        <w:rPr>
          <w:b/>
        </w:rPr>
        <w:t>E. 3.2.1</w:t>
      </w:r>
    </w:p>
    <w:p>
      <w:r>
        <w:t>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Lorsqu'une lésion corporelle comprise dans la liste de l'art. 6 al. 2 LAA est diagnostiquée, l'assureur-accidents est tenu à prestations aussi longtemps qu'il n'apporte pas la preuve sur la base d'évaluations médicales concluantes – au degré de la vraisemblance prépondérante – que cette lésion est due de manière prépondérante, c'est-à-dire à plus de 50% de tous les facteurs en cause, à l'usure ou à une maladie (ATF 146 V 51 consid. 8.2.2.1). Dans le cadre de cette preuve libératoire, la question de savoir s'il y a eu un événement initial reconnaissable et identifiable est déterminante pour délimiter les obligations respectives de l'assureur-accidents et de l'assureur-maladie (ATF 146 V 51 consid. 8.6).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(ATF 146 V 51 consid.</w:t>
      </w:r>
    </w:p>
    <w:p>
      <w:r>
        <w:t>A/3036/2021 - 7/12 - 5.1 et 8.5).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Les différents indices qui parlent pour ou contre l'usure ou la maladie doivent être pondérés d'un point de vue médical. Si la « palette des causes » se compose uniquement d'éléments indiquant une usure ou une maladie, il s'ensuit inévitablement que l'assureur-accidents a apporté la preuve de la « libération » et qu’il n’est pas nécessaire d’apporter des clarifications supplémentaires (ATF 146 V 51 consid. 8.6).</w:t>
      </w:r>
    </w:p>
    <w:p>
      <w:r>
        <w:rPr>
          <w:b/>
        </w:rPr>
        <w:t>E. 3.2.2</w:t>
      </w:r>
    </w:p>
    <w:p>
      <w:r>
        <w:t>Le Tribunal fédéral ne donne pas d'indications concrètes sur la nature d'un événement initial reconnaissable mais souligne l’importance et la nécessité d’un point de rattachement temporel pour la prise en charge d’un cas par l’assurance- accidents. On relèvera toutefois que dans un arrêt du 30 octobre 2019 (8C_267/2019), il a admis l’existence d’un événement initial reconnaissable et identifiable, en tant que cause potentielle d’une lésion du ménisque, dans le cas d’une assurée qui a sauté pour attraper un ballon lors d’un entraînement sportif puis a entendu un craquement au niveau de son genou gauche en atterrissant (Jenny CASTELLA, Les lésions corporelles assimilées à un accident à l'aune de la première révision de la LAA, in RSAS 2020, p. 36).</w:t>
      </w:r>
    </w:p>
    <w:p>
      <w:r>
        <w:rPr>
          <w:b/>
        </w:rPr>
        <w:t>E. 3.3</w:t>
      </w:r>
    </w:p>
    <w:p>
      <w:r>
        <w:t>; arrêt du Tribunal fédéral 8C_294/2015 du 10 juillet 2015 consid. 3.4 ; arrêt du Tribunal fédéral 8C_721/2014 du 27 avril 2015 consid. 4.4 ; arrêt du Tribunal fédéral 8C_484/2014 du 1er avril 2015 consid. 2.2.2 ; arrêt du Tribunal fédéral 8C_410/2013 du 15 janvier 2014 consid. 6.1).</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w:t>
      </w:r>
    </w:p>
    <w:p>
      <w:r>
        <w:t>A/3036/2021 - 8/12 -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4.3</w:t>
      </w:r>
    </w:p>
    <w:p>
      <w:r>
        <w:t>Il faut distinguer trois types d'expertises médicales : les expertises ordonnées auprès d'un expert indépendant par l'autorité judiciaires sur la base de l'art. 61 let. c LPGA (expertise judiciaire), les expertises ordonnées auprès d'un expert indépendant par l'autorité sociale sur la base de l'art. 44 LPGA (expertise administrative), et les rapports médicaux requis par une assurance sociale auprès de médecins qui lui sont subordonnés, comme les médecins-conseils, ou réalisé sur commande de l'assuré (expertise de partie). S'il est évident que la force probante d'une expertise judiciaire est complète (ATF 125 V 351 consid. 3b/aa), le juge doit également accorder pleine valeur probante aux expertises administratives pour autant que celles-ci ne contiennent pas de contradictions et qu'aucun autre élément fondé ne remette en cause leur bien- fondé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au sens qu'une tel rapport médical peut surtout permettre de remettre en doute une expertise administrative ou judiciaire (ATF 125 V 351 consid. 3c). Ainsi, lorsqu'une décision administrative sociale ne s'appuie que sur l'avis d'un médecin interne à l'assureur social et qu'il existe des doutes, même minimes, sur la pertinence de l'appréciation de ce médecin, il y a lieu de mettre en œuvre une expertise administrative ou une expertise judiciaire (ATF 135 V 465 consid. 4.4 ; TF, 8C_510/2020, du 15 avril 2021 consid. 2.4 ; arrêt du Tribunal fédéral 8C_796/2016 du 14 juin 2017 consid.</w:t>
      </w:r>
    </w:p>
    <w:p>
      <w:r>
        <w:rPr>
          <w:b/>
        </w:rPr>
        <w:t>E. 5.1</w:t>
      </w:r>
    </w:p>
    <w:p>
      <w:r>
        <w:t>En l'espèce, dans la décision litigieuse, l'intimée a refusé d'allouer des prestations sur la base de l'art. 6 al. 2 let. c LAA, suite à l'événement du 17</w:t>
      </w:r>
    </w:p>
    <w:p>
      <w:r>
        <w:t>A/3036/2021 - 9/12 - décembre 2020. Elle a conclu, en se référant aux avis du Dr G______, que la rupture du ménisque était provoquée par une chondropathie au niveau fémoral et par un ménisque dégénératif en voie d'extrusion. L'IRM du 12 février 2021 du Dr E______ montrait une lésion complexe du ménisque interne, qui était un cas de lésion dégénérative. Ces lésions de chondrite de grade 1 pour le cartilage fémoral et les lésions de chondrite de grade 2 pour le cartilage tibial témoignaient de lésions dégénératives avancées du cartilage qui avaient provoqué les lésions méniscales par usure et frottement. De plus, le genou gauche présentait des lésions dégénératives avancées, ce qui était un argument de plus pour retenir une lésion dégénérative du ménisque interne du genou droit. La déchirure du ménisque était ainsi due de manière prépondérante, c'est-à-dire à plus de 50% de tous les facteurs en cause, à la maladie et à l'usure.</w:t>
      </w:r>
    </w:p>
    <w:p>
      <w:r>
        <w:rPr>
          <w:b/>
        </w:rPr>
        <w:t>E. 5.2</w:t>
      </w:r>
    </w:p>
    <w:p>
      <w:r>
        <w:t>La recourante estime que l'intimée n'a pas apporté la preuve libératoire puisque les rapport et appréciations du Dr G______ ne sont pas probants. Les avis des Drs F______ et H______ remettaient en cause les propos du Dr G______ puisqu'ils concluaient à une lésion traumatique due à l'événement du 17 décembre 2020. L'arthroscopie avait montré des lésions radiaires et des chondrites de grade I et II qui n’étaient pas des atteintes dégénératives avancées. Elle a sollicité une expertise judiciaire.</w:t>
      </w:r>
    </w:p>
    <w:p>
      <w:r>
        <w:rPr>
          <w:b/>
        </w:rPr>
        <w:t>E. 6</w:t>
      </w:r>
    </w:p>
    <w:p>
      <w:r>
        <w:t>L'événement du 17 décembre 2020 qui a conduit à la lésion méniscale du genou droit de la recourante ne remplit pas les critères d’un accident au sens de l'art. 4 LPGA, ce qui est admis par les parties. Il convient en conséquence d'analyser si la lésion en cause relève d'une lésion assimilée au sens de l'art. 6 al. 2 LAA.</w:t>
      </w:r>
    </w:p>
    <w:p>
      <w:r>
        <w:rPr>
          <w:b/>
        </w:rPr>
        <w:t>E. 6.1</w:t>
      </w:r>
    </w:p>
    <w:p>
      <w:r>
        <w:t>A cet égard, l’intimée s’est fondée sur les avis de ses propres médecins-conseils pour rendre la décision litigieuse, soit des opinions médicales d'assurance, et non des expertises administratives au sens de l'art. 44 LPGA. Or, le Dr G______, qui ne se prononce pas sur l'arthroscopie au genou droit de la recourante effectuée le 2 avril 2021 a pris des conclusions qui sont mises en doute de façon convaincante par les rapports des Drs F______ et H______. Selon ces derniers, l'arthroscopie et l'IRM montrent une lésion radiaire et très peu d'atteintes dégénératives, alors que le médecin-conseil de l'assurance a posé le diagnostic d'une lésion complexe, donc dégénérative, en se basant notamment sur cette IRM. Les différentes appréciations médicales et documents médicaux déposés au dossier ne permettent pas d'établir si la lésion méniscale du genou droit de la recourante est d'origine traumatique et donc à charge de l'intimée, ou si elle est due, de manière prépondérante, à une dégénérescence. Cela est d’autant plus vrai qu’il existe un événement initial reconnaissable à l’origine des douleurs évoquées par la recourante, soit un démarrage de course à pied le 17 décembre 2020, et que, conformément à la jurisprudence précitée (ATF 146 V 51), cet événement ne permet pas d’exclure d’emblée la présence d’une lésion traumatique, ce d’autant que le Tribunal fédéral a considéré qu’un mouvement de « stop and go » effectué</w:t>
      </w:r>
    </w:p>
    <w:p>
      <w:r>
        <w:t>A/3036/2021 - 10/12 - par un assuré au badminton n’était pas un événement tout à fait secondaire ou anodin (arrêt du Tribunal fédéral 8C_593/2021 du 6 janvier 2022). Il existe donc une controverse médicale décisive pour répondre à la question litigieuse, qui exclut que la cause puisse être tranchée sur la seule base d'opinions médicales internes à une assurance ou réalisées à la requête de la recourante. L'origine de la lésion, qui est l'élément central, n'a pas été suffisamment investiguée. Ainsi, une expertise s'impose, qu’il incombe à l’intimée de mettre en œuvre. A cet égard en effet,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voir aussi l'arrêt 8C_796/2016 du 14 juin 2017 consid. 3.3). En outre, il appartient en premier lieu à l’assureur-accidents de procéder à des instructions complémentaires pour établir d’office l’absence de faits déterminants et d’administrer les preuves récoltées, de sorte qu’il est justifié de lui renvoyer la cause pour mettre en œuvre une expertise (à cet égard arrêt du Tribunal fédéral 8C_445/2021 du 14 janvier 2022). Par ailleurs, conformément à la jurisprudence du Tribunal fédéral, il conviendra de désigner un expert de façon consensuelle.</w:t>
      </w:r>
    </w:p>
    <w:p>
      <w:r>
        <w:rPr>
          <w:b/>
        </w:rPr>
        <w:t>E. 7</w:t>
      </w:r>
    </w:p>
    <w:p>
      <w:r>
        <w:t>La recourante requiert le remboursement des factures du Dr H______, soit trois factures de respectivement CHF 275.-, CHF 450.- et CHF 250.-, pour un total de CHF 975.-. A cet égard, en vertu de l’art. 45 al. 1 LPGA, les frais occasionnés par les mesures d'instruction indispensables à l'appréciation du cas sont pris en charge par l'assureur.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 arrêt I 1008/06 du 24 avril 2007 consid. 3.1 ; arrêt 9C_136/2012 du 20 août 2012). En l’occurrence, les avis médicaux du Dr H______, qui mettent sérieusement en doute l’appréciation des médecins conseils de l’intimée, sont déterminants. En conséquence, l’intimée sera condamnée à prendre en charge les factures précitées.</w:t>
      </w:r>
    </w:p>
    <w:p>
      <w:r>
        <w:rPr>
          <w:b/>
        </w:rPr>
        <w:t>E. 8</w:t>
      </w:r>
    </w:p>
    <w:p>
      <w:r>
        <w:t>Partant, le recours est partiellement admis, la décision sur opposition du 23 juillet 2021 annulée et la cause renvoyée à l'intimée pour qu'elle complète l'instruction dans le sens qui précède, puis rende une nouvelle décision. L’intimé sera condamné à prendre en charge les factures du Dr H______, pour un montant total de CHF 975.-</w:t>
      </w:r>
    </w:p>
    <w:p>
      <w:r>
        <w:t>A/3036/2021 - 11/12 - La recourante obtenant partiellement gain de cause, une indemnité de CHF 2'000.- lui sera accordée à titre de participation à ses frais et dépens (art. 61 let. g LPGA; art. 6 du règlement sur les frais, émolument et indemnités en matière administrative du 30 juillet 1986 [RFPA – E 5 10.03]). Pour le surplus, la procédure est gratuite (art. 89H al. 1 LPA et art. 61 let. a LPGA).</w:t>
      </w:r>
    </w:p>
    <w:p>
      <w:r>
        <w:t>A/3036/2021 - 12/12 -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