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ATAS/305/2019 vom 2. April 2019</w:t>
      </w:r>
    </w:p>
    <w:p>
      <w:r>
        <w:t>GE Cour de justice, 2019-04-02, FR</w:t>
      </w:r>
    </w:p>
    <w:p>
      <w:r>
        <w:rPr>
          <w:b/>
        </w:rPr>
        <w:t xml:space="preserve">Quelle: </w:t>
      </w:r>
      <w:r>
        <w:t>https://mcp.opencaselaw.ch/entscheid/ge_gerichte_ATAS_305_2019</w:t>
      </w:r>
    </w:p>
    <w:p>
      <w:r>
        <w:t>FR: GE_GERICHTE ATAS/305/2019 du 2 avril 2019</w:t>
      </w:r>
    </w:p>
    <w:p>
      <w:r>
        <w:t>IT: GE_GERICHTE ATAS/305/2019 del 2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En l’espèce, l’assuré recourt contre la décision incidente rendue par l’assureur le</w:t>
      </w:r>
    </w:p>
    <w:p>
      <w:r>
        <w:rPr>
          <w:b/>
        </w:rPr>
        <w:t>E. 8</w:t>
      </w:r>
    </w:p>
    <w:p>
      <w:r>
        <w:t>En l’espèce, le motif de récusation soulevé par l’assuré ne vise ni l’un des motifs énumérés à l’art. 15 al. 1 let. a à c LPA, ni un motif formel lié à son impartialité (arrêt du Tribunal fédéral des assurances I 127/2006). Le Tribunal fédéral a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w:t>
      </w:r>
    </w:p>
    <w:p>
      <w:r>
        <w:rPr>
          <w:b/>
        </w:rPr>
        <w:t>E. 9</w:t>
      </w:r>
    </w:p>
    <w:p>
      <w:r>
        <w:t>a. L’assuré rappelle que, dans son arrêt du 3 avril 2018, la chambre de céans avait précisé que le volet orthopédique devait être effectué par un spécialiste des troubles de l’épaule, et relève que le Dr L____ est spécialiste en chirurgie et prothèses du membre inférieur. Il propose dès lors le Dr N____ qui, lui, est spécialiste dans la traumatologie du membre supérieur, et fait valoir que si celui-ci n’a acquis sa spécialité qu’en 2013 – alors que le Dr L____ l’a depuis 1998 -, il connaît les tous derniers développements de la littérature médicale et des pratiques cliniques et est</w:t>
      </w:r>
    </w:p>
    <w:p>
      <w:r>
        <w:t>A/4333/2018 - 12/14 - responsable d’unités. L’assuré considère ainsi que le Dr N____ est manifestement plus compétent que le Dr L____ pour effectuer la mission d’expertise demandée. Il est vrai qu’il n’existe pas de « sous-spécialité » FMH, de sorte qu’un médecin ne devrait en principe pas pouvoir être considéré comme un « spécialiste de l’épaule ». Il y a toutefois lieu de rappeler que la chambre de céans, dans son arrêt du 3 avril 2018, a précisé que le volet orthopédique de l’expertise devait être assuré par un spécialiste des troubles de l’épaule. Par ailleurs, dans plusieurs arrêts, la chambre de céans tient précisément compte de cette qualité dans la désignation des experts (ATAS/702/2017 ; ATAS/835/2017). Or, il apparaît, à la lecture des sites internet des établissements dans lesquels travaillent les Drs L____ et N____, que ce dernier est plus particulièrement intéressé à la traumatologie du membre supérieur et aux séquelles de traumatisme du membre supérieur, de sorte que l’on peut s’attendre, en principe, à ce qu’il soit plus à même de se prononcer en toute connaissance de cause sur le cas de l’assuré. b. L’assureur a indiqué que les deux experts proposés étaient en possession de la certification SIM, laquelle offre la formation en expertises médicales en Suisse sous le patronage de la FMH, ce qui n’est pas le cas du Dr N____. Par ailleurs, les deux experts proposés opèrent depuis plus de vingt ans déjà des épaules. La certification SIM n’est toutefois pas exigée par la chambre de céans dans le cadre des expertises judiciaires (ATAS/874/2018 du 3 octobre 2018). c. L’assureur fait enfin valoir que le Dr L____ réalise fréquemment des expertises judiciaires et cite à cet égard un arrêt vaudois. Dans cet arrêt toutefois, s’il est vrai que le tribunal avait bel et bien désigné le Dr L____ en tant qu’expert, il s’avère qu’il avait rayé la cause du rôle ensuite du retrait du recours. L’assureur semble aussi alléguer – implicitement – que les conclusions de cet expert sont si bien motivées et si claires qu’elles ont induit le recourant à s’y rallier et à retirer son recours. Il y a toutefois lieu de regretter de n’avoir aucune appréciation sur la valeur probante, ce qui eût été indéniablement plus utile pour déterminer les qualités du médecin en tant qu’expert. d. Il y a en conséquence lieu de considérer que les objections soulevées par l’assuré doivent être retenues et d’annuler la désignation du Dr L____. L’expertise sera confiée au Dr N____.</w:t>
      </w:r>
    </w:p>
    <w:p>
      <w:r>
        <w:rPr>
          <w:b/>
        </w:rPr>
        <w:t>E. 10</w:t>
      </w:r>
    </w:p>
    <w:p>
      <w:r>
        <w:t>a. L’assuré demande à ce que l’assureur produise une copie intégrale de son dossier, y compris les notes internes, notamment de son service juridique, cela depuis le 1er janvier 2013, soit dès le moment où les surveillances par les détectives privés ont commencé à être planifiées. b.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w:t>
      </w:r>
    </w:p>
    <w:p>
      <w:r>
        <w:t>A/4333/2018 - 13/14 - l'administration des preuves, d'en prendre connaissance et de se déterminer à leur propos (ATF 135 I 279 consid. 2.3 p. 282 ; 135 II 286 consid. 5.1 p. 293 ; 132 V 368 consid. 3.1 p. 370). Selon l’art. 47 LPGA, « 1 Ont le droit de consulter le dossier, dans la mesure où les intérêts privés prépondérants sont sauvegardés : a. l'assuré, pour les données qui le concernent; b. les parties, s'agissant des données qui leur sont nécessaires pour exercer un droit ou remplir une obligation qui découle d'une loi sur les assurances sociales ou pour faire valoir un moyen de droit contre une décision fondée sur cette même loi; c. les autorités habilitées à statuer sur les recours contre des décisions fondées sur une loi sur les assurances sociales, pour les données nécessaires à l'accomplissement de cette tâche; d. le tiers responsable et son assureur, pour les données qui leur sont nécessaires pour se déterminer sur une prétention récursoire de l'assurance sociale concernée. 2 S'il s'agit de données sur la santé dont la communication pourrait entraîner une atteinte à la santé de la personne autorisée à consulter le dossier, celle-ci peut être tenue de désigner un médecin qui les lui communiquera ». c. Au vu de ce qui précède, la chambre de céans ne peut qu’inviter l’assureur à mettre à disposition de l’assuré copie de son dossier complet, à compter du 1er janvier 2013, étant précisé, s’agissant des notes internes, que l’intérêt à les garder secrètes peut être prépondérant sur l’intérêt à les consulter. Les pièces dites internes et ne constituant pas un élément constitutif de preuve dans la motivation des prononcés sont celles qui servent exclusivement à l’administration et qui lui permettent de se forger une opinion sans a priori sur le cas d’espèce ; il s’agit notamment de rapports, propositions, procès-verbaux, notes ou projets. En cas de doute, une pièce n’est pas considérée comme interne. Les annexes à une pièce interne ne sont pas nécessairement qualifiées d’internes (ATF 115 V 297, ATF 121 I 225 2a, ATF 125 II 473).</w:t>
      </w:r>
    </w:p>
    <w:p>
      <w:r>
        <w:t>PAR CES MOTIFS, LA CHAMBRE DES ASSURANCES SOCIALES :</w:t>
      </w:r>
    </w:p>
    <w:p>
      <w:r>
        <w:t>A/4333/2018 - 14/14 - Statuant À la forme : 1. Déclare le recours recevable. Au fond : 2. Admet le recours. 3. Dit que l’expertise sera confiée au docteur N____. 4. Invite AXA ASSURANCES SA à mettre à disposition de l’assuré son dossier complet dans le sens des considérants. 5. Condamne AXA ASSURANCES SA à verser à l’assuré CHF 1'800.-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