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ATAS/305/2018 vom 11. April 2018</w:t>
      </w:r>
    </w:p>
    <w:p>
      <w:r>
        <w:t>GE Cour de justice, 2018-04-11, FR</w:t>
      </w:r>
    </w:p>
    <w:p>
      <w:r>
        <w:rPr>
          <w:b/>
        </w:rPr>
        <w:t xml:space="preserve">Quelle: </w:t>
      </w:r>
      <w:r>
        <w:t>https://mcp.opencaselaw.ch/entscheid/ge_gerichte_ATAS_305_2018</w:t>
      </w:r>
    </w:p>
    <w:p>
      <w:r>
        <w:t>FR: GE_GERICHTE ATAS/305/2018 du 11 avril 2018</w:t>
      </w:r>
    </w:p>
    <w:p>
      <w:r>
        <w:t>IT: GE_GERICHTE ATAS/305/2018 del 11 aprile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3</w:t>
      </w:r>
    </w:p>
    <w:p>
      <w:r>
        <w:t>a. Aux termes de l’art. 60 LPGA, le recours doit être déposé dans les trente jours suivant la notification de la décision sujette à recours (al. 1). Les art. 38 à 41 sont applicables par analogie (al. 2).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(art. 38 al. 3, 1ère phrase LPGA). b. Datée du 20 avril 2017, la décision entreprise a été reçue le lendemain par le recourant, de sorte que le délai de recours a commencé à courir le 22 avril 2017 et est arrivé à échéance le dimanche 21 mai 2017. Le terme du délai a ainsi été reporté au premier jour ouvrable suivant. Posté le lundi 22 mai 2017, le recours a été interjeté en temps utile. Respectant également les formes prescrites par la loi, il est recevable (art. 56 à 61 LPGA).</w:t>
      </w:r>
    </w:p>
    <w:p>
      <w:r>
        <w:t>A/2232/2017 - 13/24 -</w:t>
      </w:r>
    </w:p>
    <w:p>
      <w:r>
        <w:rPr>
          <w:b/>
        </w:rPr>
        <w:t>E. 4</w:t>
      </w:r>
    </w:p>
    <w:p>
      <w:r>
        <w:t>Le litige porte sur le degré d’invalidité du recourant, en particulier son droit à une rente d’invalidité et le montant de l’indemnité pour atteinte à l’intégrité qui doit lui être accordée pour les suites organiques de l’accident du 10 octobre 2011. Non contestée par voie d’opposition en tant qu’elle nie tout droit à des prestations d’assurance du fait de « troubles psychogènes », la décision du 20 février 2017 est entrée en force sur ce point (cf. ATF 119 V 347 consid. 1b).</w:t>
      </w:r>
    </w:p>
    <w:p>
      <w:r>
        <w:rPr>
          <w:b/>
        </w:rPr>
        <w:t>E. 5</w:t>
      </w:r>
    </w:p>
    <w:p>
      <w:r>
        <w:t>a. Aux termes de l'art. 6 al. 1 LAA, les prestations d'assurance sont allouées en cas d'accident professionnel,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c. Il ressort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 En dérogation à ce principe, l’art. 21 al. 1 LAA prévoit que lorsque la rente a été fixée, les prestations pour soins et remboursement de frais (art. 10 à 13 LAA) sont accordées à son bénéficiaire notamment lorsqu’il souffre d’une maladie professionnelle (let. a), d’une rechute ou de séquelles tardives et que des mesures médicales amélioreraient notablement sa capacité de gain ou empêcheraient une notable diminution de celle-ci (let. b) ou lorsqu’il a besoin de manière durable d’un traitement et de soins pour conserver sa capacité résiduelle de gain (let. c).</w:t>
      </w:r>
    </w:p>
    <w:p>
      <w:r>
        <w:rPr>
          <w:b/>
        </w:rPr>
        <w:t>E. 6</w:t>
      </w:r>
    </w:p>
    <w:p>
      <w:r>
        <w:t>a. La plupart des éventualités assurées (notamment la maladie, l'accident, l'incapacité de travail, l'invalidité, l'atteinte à l'intégrité physique ou mentale)</w:t>
      </w:r>
    </w:p>
    <w:p>
      <w:r>
        <w:t>A/2232/2017 - 14/24 -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 il y a lieu de mettre en œuvre une expertise par un médecin indépendant selon la</w:t>
      </w:r>
    </w:p>
    <w:p>
      <w:r>
        <w:t>A/2232/2017 - 15/24 - procédure de l'art. 44 LPGA ou une expertise judiciaire (ATF 135 V 465 consid. 4 ; arrêt du Tribunal fédéral 8C_923/2010 du 2 novembre 2011 consid. 5.2). c/cc.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w:t>
      </w:r>
    </w:p>
    <w:p>
      <w:r>
        <w:rPr>
          <w:b/>
        </w:rPr>
        <w:t>E. 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a. En l’espèce, l’intimée a fixé le degré d’invalidité en comparant le revenu sans invalidité que le recourant aurait obtenu auprès de son employeur en 2017 avec un revenu d’invalide de CHF 58'811.-, réalisable en 2016 sur la base de cinq DPT tenant compte des limitations fonctionnelles retenues par la Dresse K______. Elle s’est fondée, plus précisément, sur les DTP n° 3305 (monteur de modules, Renens), n° 12845863 (cariste, Plan-les-Ouates), n° 15831822 (employé d’atelier emballage, Carouge), n° 491288 (ouvrier de fabrication sur machines) et n° 2260 (montage, câblage/tt). En outre, elle a fait état de cent-vingt-sept postes pouvant entrer en considération dans les cantons de Genève et Vaud selon les limitations fonctionnelles dont souffre le recourant et a indiqué les salaires minimum, maximum et moyen. Sur cette base, elle a admis un revenu d’invalide de CHF 58'811.- par année dans la décision du 20 février 2017 ainsi que dans la décision entreprise. Le recourant ne soulève aucune objection sur le choix et la représentativité des DPT dans le cas concret, bien qu’il ait eu la possibilité de consulter ces dernières, notamment au stade de son opposition à la décision du 20 février 2017. En revanche, il fait valoir, d’une part, que l’intimée n’explique pas pour quels motifs la décision entreprise ne se fonde pas sur les ESS et, d’autre part, qu’il n’est pas concevable qu’en se basant sur un même état de fait, l’accident du 10 octobre 2011, l’intimée et l’OAI parviennent à un taux d’invalidité de 7.31%, respectivement 45.38%. On rappellera, à titre liminaire, que la différence mise en exergue s’explique pour l’essentiel par une appréciation différente de l’exigibilité retenue par le SMR d’une part et la Dresse K______ d’autre part. Cela étant, au regard de la valeur probante de l’appréciation de ce médecin d’arrondissement (cf. ci-dessus : consid. 8), il n’y a pas lieu de remettre en question ses conclusions quant à une pleine capacité de travail dans une activité adaptée. Quant à la détermination du revenu d’invalide, au moyen des ESS pour l’OAI, respectivement des DPT pour l’intimée, on ne saurait faire grief à l’intimée de n’avoir pas motivé son choix, les deux méthodes étant admises sans que la jurisprudence n’exprime de préférence pour l’une ou l’autre</w:t>
      </w:r>
    </w:p>
    <w:p>
      <w:r>
        <w:t>A/2232/2017 - 19/24 - (cf. ci-dessus : consid. 9c/bb.). Enfin, en tant que le recourant se plaint d’une violation du principe d’uniformité de la notion d’invalidité en matière d’assurances sociales, il y a lieu de rappeler que l’ancien Tribunal fédéral des assurances a précisé sa jurisprudence relative à ce principe en ce sens que l'évaluation de l'invalidité par les organes de l'assurance-invalidité n'a pas de force contraignante pour l'assureur-accidents (ATF 131 V 362 consid. 2.3 p. 368; la réciprocité de cette règle à l'égard de l'assurance-invalidité a également été admise: ATF 133 V 549 ; arrêt du Tribunal fédéral 8C_445/2015 du 9 mai 2016 consid. 3). L’intimée était par conséquent en droit de procéder à l'évaluation de l'invalidité du recourant indépendamment du projet de décision de l'OAI du 23 décembre 2016. b/aa. Le recourant ne contestant ni les DPT sélectionnées par l’intimée, ni le revenu d’invalide, il n’y a pas lieu de s’écarter du montant de celui-ci (CHF 58'811.-). b/bb. S’agissant du revenu sans invalidité, il apparaît que l’OAI a considéré que celui-ci aurait atteint CHF 62'315.- par an en 2015 alors que de son côté, les informations que l’employeur a transmises à l’intimée font état d’un revenu annuel qui se serait élevé à CHF 62'605.- la même année (soit treize mensualités de CHF 4'785.- et participation annuelle de CHF 400.- à la caisse maladie ; pièce 265 intimée), respectivement CHF 63'130.- en 2016 (treize mensualités de CHF 4'810.- et participation annuelle de CHF 600.- à la caisse maladie) et CHF 63'455.- en 2017 (CHF 4'835.- x 13 et participation annuelle de CHF 600.- à la caisse maladie ; pièce 375 intimée). Après examen, il s’avère que l’OAI a indexé à 2015 le revenu que le recourant réalisait en 2011 (CHF 60'775.-) selon l’évolution des salaires en termes nominaux (ISS en 2011 : 2'171 et en 2015 : 2'226 ; soit CHF 60'775.- x 2'226 / 2'171). Dès lors que l’employeur a communiqué à l’intimée, annuellement et de manière précise, les augmentations dont le recourant aurait bénéficié de 2012 à 2017, le choix de se fonder sur ces communications et non sur les données statistiques de l’ISS satisfait à l’objectif d’évaluation du revenu sans invalidité de la manière la plus concrète possible (cf. ci-dessus : consid. 9c/aa) et ne prête donc pas le flanc à la critique. b/cc. La décision entreprise ne saurait toutefois être suivie en tant qu’elle compare le revenu sans invalidité que le recourant aurait réalisé auprès de son employeur en 2017 au revenu d’invalide résultant des DPT effectuées en 2016, c’est-à-dire en se basant sur des moments différents (cf. ci-dessus : consid. 9b). Dans la mesure où l’état de santé était considéré comme stabilisé au plus tard lors de l’examen final par la Dresse K______, soit le 25 avril 2016 et que le droit (hypothétique) à une rente est né à partir de ce moment (cf. ci-dessus : consid. 5c), il convient de se fonder sur l’année 2016 pour fixer le revenu sans invalidité et le revenu d’invalide. Le premier s’élevant à CHF 63'130.- (cf. ci-dessus : consid. 10b/bb) et le second à CHF 58'811.-, la comparaison de ces deux revenus aboutit à un taux d’invalidité de 7% (100 – [58'811 x 100 / 63’130] = 6.84%, arrondi au pourcent supérieur ; ATF 130 V 121 consid. 3.2), de sorte que la décision entreprise demeure correcte quant à son résultat (taux d’invalidité de 7.31%, arrondi à 7%). Par conséquent,</w:t>
      </w:r>
    </w:p>
    <w:p>
      <w:r>
        <w:t>A/2232/2017 - 20/24 - il convient de confirmer cette dernière en tant qu’elle refuse tout droit à une rente d’invalidité au recourant.</w:t>
      </w:r>
    </w:p>
    <w:p>
      <w:r>
        <w:rPr>
          <w:b/>
        </w:rPr>
        <w:t>E. 11</w:t>
      </w:r>
    </w:p>
    <w:p>
      <w:r>
        <w:t>a. Il reste à examiner le montant de l’indemnité pour atteinte à l’intégrité corporelle (IPAI). Le recourant conteste le taux de 30% retenu par l’intimée et conclut à ce qu’il soit augmenté à 50%.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w:t>
      </w:r>
    </w:p>
    <w:p>
      <w:r>
        <w:t>A/2232/2017 - 21/24 -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Le taux d'une atteinte à l'intégrité doit être évalué exclusivement sur la base de constatations médicales (ATF 115 V 147 consid. 1; ATF 113 V 218 consid. 4b; RAMA 2004 p. 415; arrêt du Tribunal fédéral des assurances U 134/03 du 12 janvier 2004 consid. 5.2).</w:t>
      </w:r>
    </w:p>
    <w:p>
      <w:r>
        <w:rPr>
          <w:b/>
        </w:rPr>
        <w:t>E. 12</w:t>
      </w:r>
    </w:p>
    <w:p>
      <w:r>
        <w:t>Depuis janvier 2016, le montant maximal du gain assuré s’élève à CHF 148'200.- par an et CHF 406.- par jour (art. 22 al. 1 de l'ordonnance sur l'assurance-accidents, du 20 décembre 1982 [OLAA ; RS 832.202]). Entre le 1er janvier 2008 et le 31 décembre 2015, ce montant s'élevait à CHF 126'000.- par an et CHF 346.- par jour (art. 22 al. 1 aOLAA [RO 2007 p. 3667]).</w:t>
      </w:r>
    </w:p>
    <w:p>
      <w:r>
        <w:rPr>
          <w:b/>
        </w:rPr>
        <w:t>E. 13</w:t>
      </w:r>
    </w:p>
    <w:p>
      <w:r>
        <w:t>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w:t>
      </w:r>
    </w:p>
    <w:p>
      <w:r>
        <w:t>A/2232/2017 - 22/24 - Lorsqu’une atteinte à l’intégrité ne figure ni à l’annexe 3 à l’OLAA, ni dans les tables de la SUVA, il convient de l’apprécier en la comparant à d’autres atteintes (ATF 113 V 218 consid. 3 ; Alexandra RUMO-JUNGO, André Pierre HOLZER, Bundesgesetz über die Unfallversicherung, 4ème éd. 2011, in MURER/STAUFFER [éd.], Rechtsprechung des Bundesgerichts zum Sozialversicherungsrecht). L’annexe 3 à l’OLAA ne traite pas spécifiquement de l’atteinte subie par le recourant. Elle se borne à prévoir que la perte d'une jambe au niveau du genou donne droit à une IPAI au taux de 40%, ce pourcentage passant à 50% en cas de perte d'une jambe au-dessus du genou. La table 5.2 de la SUVA relative à l’indemnisation des atteintes à l’intégrité résultant d’arthroses est subdivisée en cinq colonnes (arthrose moyenne [1], arthrose grave [2], résection/arthrodèse [3], endoprothèse avec résultat bon [4], endoprothèse avec résultat mauvais [5]). Selon la jurisprudence, l'évaluation de l'atteinte à l'intégrité en cas d'implantation de prothèses ou d'endoprothèses doit reposer sur l'état de santé non corrigé, comme en cas de remise d'un moyen auxiliaire, à l'exception des moyens servant à la vision (cf. ch. 1 de l'annexe 3 à l'OLAA; arrêt du Tribunal fédéral 8C_542/2012 du 8 juillet 2013 consid. 7.2 et les références citées). Les indications figurant dans la table 5.2 de la SUVA précisent que pour les prothèses implantées directement après l’accident (endoprothèses primaires), les colonnes 5 et 6 (recte : 4 et 5) demeurent applicables. S’agissant des types d’arthrose du genou, la table 5.2 fait une distinction entre les arthroses fémoro-patellaire, fémoro-tibiale et la pangonarthrose du genou.</w:t>
      </w:r>
    </w:p>
    <w:p>
      <w:r>
        <w:rPr>
          <w:b/>
        </w:rPr>
        <w:t>E. 14</w:t>
      </w:r>
    </w:p>
    <w:p>
      <w:r>
        <w:t>En l’espèce, le recourant s’est vu implanter une prothèse totale du genou près de deux ans après l’accident. Partant, seules les deux premières colonnes du tableau entrent en considération. Selon le rapport du 26 juin 2012 du Dr H______, le recourant avait développé une importante arthrose du compartiment externe, soit une arthrose fémoro-tibiale (cf. http://www.genou.com/arthrose/arthrose.htm) à la suite de l’ostéosynthèse du 14 octobre 2011. Pour ce type d’arthrose, la table 5.2 prévoit une IPAI comprise dans une fourchette de 5 à 15% en cas d’arthrose moyenne (colonne 1) et de 15 à 30% en cas d’arthrose grave (colonne 2). Par conséquent, en fixant l’IPAI à 30% dans le cas d’espèce, la Dresse K______ a retenu le taux maximal pouvant entrer en considération à la lumière de ces valeurs indicatives. Pour sa part, le recourant ne produit pas de rapport divergeant se prononçant sur la question spécifique de l’IPAI. Pour prétendre à une indemnisation plus élevée, il fait valoir en substance qu’il devrait composer avec des douleurs et des limitations fonctionnelles sa vie durant. Dans la mesure où ces éléments sont consubstantiels à toute IPAI (cf. ci-dessus : consid. 11a), l’argumentation du recourant est dénuée de pertinence.</w:t>
      </w:r>
    </w:p>
    <w:p>
      <w:r>
        <w:t>A/2232/2017 - 23/24 - En conséquence, la décision entreprise sera également confirmée en tant qu’elle fixe l’indemnité pour atteinte à l’intégrité à CHF 37'800.-, soit 30% du montant du gain maximum assuré en 2011 (art. 25 al. 1 LAA). Étant donné que le recourant reconnaît avoir déjà reçu ce montant (cf. aussi pièce 406, p. 19 intimée), l’intimée ne lui doit plus rien à ce titre.</w:t>
      </w:r>
    </w:p>
    <w:p>
      <w:r>
        <w:rPr>
          <w:b/>
        </w:rPr>
        <w:t>E. 15</w:t>
      </w:r>
    </w:p>
    <w:p>
      <w:r>
        <w:t>Au regard de ce qui précède, le recours, mal fondé, doit être rejeté.</w:t>
      </w:r>
    </w:p>
    <w:p>
      <w:r>
        <w:rPr>
          <w:b/>
        </w:rPr>
        <w:t>E. 16</w:t>
      </w:r>
    </w:p>
    <w:p>
      <w:r>
        <w:t>Vu l’issue donnée au recours, aucune indemnité de procédure ne sera allouée au recourant (art. 61 let. g LPGA et art. 89H al. 3 LPA a contrario). Pour le surplus, la procédure est gratuite (art. 61 let. a LPGA).</w:t>
      </w:r>
    </w:p>
    <w:p>
      <w:r>
        <w:t>*****</w:t>
      </w:r>
    </w:p>
    <w:p>
      <w:r>
        <w:t>A/2232/2017 - 24/24 -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