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ATAS/305/2009 vom 13. März 2009</w:t>
      </w:r>
    </w:p>
    <w:p>
      <w:r>
        <w:t>GE Cour de justice, 2009-03-13, FR</w:t>
      </w:r>
    </w:p>
    <w:p>
      <w:r>
        <w:rPr>
          <w:b/>
        </w:rPr>
        <w:t xml:space="preserve">Quelle: </w:t>
      </w:r>
      <w:r>
        <w:t>https://mcp.opencaselaw.ch/entscheid/ge_gerichte_ATAS_305_2009</w:t>
      </w:r>
    </w:p>
    <w:p>
      <w:r>
        <w:t>FR: GE_GERICHTE ATAS/305/2009 du 13 mars 2009</w:t>
      </w:r>
    </w:p>
    <w:p>
      <w:r>
        <w:t>IT: GE_GERICHTE ATAS/305/2009 del 13 marzo 2009</w:t>
      </w:r>
    </w:p>
    <w:p>
      <w:pPr>
        <w:pStyle w:val="Heading2"/>
      </w:pPr>
      <w:r>
        <w:t>Erwägungen</w:t>
      </w:r>
    </w:p>
    <w:p>
      <w:r>
        <w:rPr>
          <w:b/>
        </w:rPr>
        <w:t>E. 1</w:t>
      </w:r>
    </w:p>
    <w:p>
      <w:r>
        <w:t>Conformément à l'art. 56V al. 1 let. a ch. 5 de la loi genevoise sur l'organisation judiciaire (LOJ), le Tribunal cantonal des assurances sociales connaît en instance</w:t>
      </w:r>
    </w:p>
    <w:p>
      <w:r>
        <w:t>A/2220/2008 - 8/14 -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 droit à la rente est postérieur à son entrée en vigueur (cf. ATF 130 V 446 ss consid. 1, 129 V 4 consid. 1.2).</w:t>
      </w:r>
    </w:p>
    <w:p>
      <w:r>
        <w:rPr>
          <w:b/>
        </w:rPr>
        <w:t>E. 3</w:t>
      </w:r>
    </w:p>
    <w:p>
      <w:r>
        <w:t>Le délai de recours est de 30 jours (art. 60 al. 1 LPGA). La décision sur opposition date du 19 mai 2008 et a été reçue au plus tôt le lendemain de sorte que le délai de recours a débuté le 21 mai 2008 pour prendre fin le 19 juin 2008 (art. 38 al. 1 et 3, art. 60 al. 2 LPGA). Par conséquent, le recours a été formé en temps utile, le dernier jour du délai (art. 39 al. 1 et 60 al. 2 LPGA). Interjeté dans la forme et le délai prévus par la loi, le recours est recevable, en vertu des art. 56 et ss LPGA.</w:t>
      </w:r>
    </w:p>
    <w:p>
      <w:r>
        <w:rPr>
          <w:b/>
        </w:rPr>
        <w:t>E. 4</w:t>
      </w:r>
    </w:p>
    <w:p>
      <w:r>
        <w:t>Le litige porte exclusivement sur le droit du recourant à une rente d’invalidité, respectivement sur le revenu sans invalidité et l’année de référence déterminante pour le calcul du taux d’invalidité, étant précisé que le revenu d’invalide n’est pas contesté.</w:t>
      </w:r>
    </w:p>
    <w:p>
      <w:r>
        <w:rPr>
          <w:b/>
        </w:rPr>
        <w:t>E. 5</w:t>
      </w:r>
    </w:p>
    <w:p>
      <w:r>
        <w:t>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w:t>
      </w:r>
    </w:p>
    <w:p>
      <w:r>
        <w:t>A/2220/2008 - 9/14 -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ATF non publié 8C_402/07 du 23 avril 2008, consid. 5.1.2.1). Ni la simple possibilité d'un résultat positif d'un autre traitement médical, ni un progrès thérapeutique seulement insignifiant escompté d'autres mesures thérapeutiques comme une cure thermale ne donnent droit à leur mise en œuvre. On ne peut pas parler d’une sensible amélioration de l’état de santé lorsqu’une mesure thérapeutique ne peut adoucir que pour un temps limité les douleurs dues à une atteinte à la santé restant stationnaire (ATF non publié U 244/04 du 20 mai 2005, consid. 3.1).</w:t>
      </w:r>
    </w:p>
    <w:p>
      <w:r>
        <w:rPr>
          <w:b/>
        </w:rPr>
        <w:t>E. 6</w:t>
      </w:r>
    </w:p>
    <w:p>
      <w:r>
        <w:t>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Ce n'est qu'en présence de circonstances particulières qu'il peut se justifier qu'on s'en écarte et qu'on recoure aux données statistiques résultant de l'Enquête suisse sur la structure des salaires (ci-après : ESS) édité par l'Office fédéral de la statistique. Tel sera le cas lorsqu'on ne dispose d'aucun renseignement au sujet de la dernière activité professionnelle de l'assuré (ATF non publié U 243/99 du 23 mai 2000,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(ATF non publié I 774/01 du 4 septembre 2002) ou rencontrait d'ores et déjà des difficultés</w:t>
      </w:r>
    </w:p>
    <w:p>
      <w:r>
        <w:t>A/2220/2008 - 10/14 - professionnelles en raison d'une dégradation progressive de son état de santé (RCC 1985 p. 662), ou encore percevait une rémunération inférieure aux normes de salaire usuelles (ATF 123 V 274). On peut également songer à la situation dans laquelle le poste de travail de l'assuré avant la survenance de l'atteinte à la santé n'existe plus au moment déterminant de l'évaluation de l'invalidité (sur l'ensemble de la question ATF non publié B 80/01 du 17 octobre 2003, consid. 5.2.2). Quant au revenu d'invalide, il doit être évalué avant tout en fonction de la situation professionnelle concrète de l'intéressé (ATF 126 V 75 consid. 3b).</w:t>
      </w:r>
    </w:p>
    <w:p>
      <w:r>
        <w:rPr>
          <w:b/>
        </w:rPr>
        <w:t>E. 7</w:t>
      </w:r>
    </w:p>
    <w:p>
      <w:r>
        <w:t>En l'espèce, le recourant a suivi un reclassement professionnel en tant que dessinateur en bâtiment qui a pris fin le 24 août 2006 et s’est soldé, en juin 2006, par l’obtention d’un CFC. Selon le rapport du Dr N_________ du 30 avril 2007 basé sur la consultation du 4 septembre 2006, un traitement de physiothérapie devrait permettre de stabiliser la situation sur le plan rachidien. Or, selon la jurisprudence, les mesures thérapeutiques ayant pour but de stabiliser l’état de santé ne permettent plus d’attendre une sensible amélioration de ce dernier (ATF non publié 8C_402/07 du 23 avril 2008, consid. 5.1.2.1). De plus, l’examen final par le Dr M_________ a eu lieu le 3 avril 2007 et, dans son rapport du 31 mai 2007, ce médecin a conclu à une atteinte du statu quo sine relatif à l’accident du 13 juin 2000 au plus tard en décembre 2003. Toutefois, selon lui, la nécessité d’une reconversion professionnelle découlait des multiples accidents dont l’assuré avait été victime et dont le plus important avait été celui qui avait atteint son genou droit de sorte qu’il n’est pas possible de se baser uniquement sur l’état de l’épaule gauche et de la colonne cervicale, partant sur le rapport du Dr N_________ du 30 avril 2007, pour fixer la date de la stabilisation de l’état de santé. Cependant, le dossier ne contient aucun rapport médical procédant à une évaluation globale de l’état de santé autre que celui du Dr M_________ du 31 mai 2007. Par conséquent, seul l’examen par ce médecin a permis de conclure qu'à cette date, la continuation du traitement médical n'était plus en mesure d'apporter une sensible amélioration de l'état de santé. D’ailleurs, l’intimée a mis un terme à la prise en charge du traitement médical avec effet au 25 juin 2007 sur la base de ces conclusions. Dès lors, il y a lieu de confirmer que c’est à juste titre que l’intimée s’est basée, pour établir le taux d’invalidité, sur une comparaison des revenus en 2007, date de l’examen final du médecin d’arrondissement concluant à un état de santé stabilisé (cf. par analogie ATF non publié U 373/05 consid. 5). Ce premier grief sera donc écarté.</w:t>
      </w:r>
    </w:p>
    <w:p>
      <w:r>
        <w:rPr>
          <w:b/>
        </w:rPr>
        <w:t>E. 8</w:t>
      </w:r>
    </w:p>
    <w:p>
      <w:r>
        <w:t>Dans un second moyen, le recourant allègue que le revenu sans invalidité correspond au revenu qu’il a obtenu en dernier lieu dans l’entreprise X_________ SARL, après adaptation à l’évolution des salaires nominaux jusqu’en 2007. Lorsqu'on peut partir de l'idée que l'assuré aurait continué son activité professionnelle sans la survenance de l'atteinte à la santé, on doit prendre en compte</w:t>
      </w:r>
    </w:p>
    <w:p>
      <w:r>
        <w:t>A/2220/2008 - 11/14 - le revenu qu'il obtenait dans le poste occupé jusqu'alors, adapté à l'évolution des salaires (RAMA 2006 n° U 568, p. 66, consid. 2).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En l’espèce, l’assuré a été licencié par X_________ SARL avec effet au 31 octobre 2000, alors qu’il avait repris le travail à 50% le 14 août 2000. Selon les indications qu’il a données à l’intimée en date du 26 octobre 2000, l’employeur avait licencié le recourant non pas en raison de ses problèmes de santé mais parce qu’il s’agissait d’un « profiteur » et qu’il ne « pouvait plus le supporter ». De plus, étant donné que la dissolution d’office de l’entreprise X_________ SARL a été publiée au RC en date du 27 mars 2006, il faut admettre, au degré de preuve de la vraisemblance prépondérante, que même sans les troubles assurés, le recourant n’aurait plus été au service de cet employeur en 2007 de sorte qu’il n’est pas possible de se baser sur le salaire obtenu en dernier lieu chez X_________ SARL pour établir le revenu sans invalidité. Ces circonstances particulières justifient qu'on s'écarte du dernier revenu obtenu avant le début de l’atteinte à la santé et qu'on se réfère aux données statistiques résultant de l’ESS. Contrairement à ce que prétend le recourant, la référence à l’ATF non publié U 260/02 du 2 septembre 2003 ne représente pas un cas isolé et repose sur une jurisprudence bien établie qui a été rappelée ci-dessus (consid. 6). Dans cet arrêt, le Tribunal fédéral des assurances (ci-après : TFA) a jugé que, lorsqu’un assuré a été licencié postérieurement à l’accident pour des raisons économiques, il faut admettre que, même sans atteinte à sa santé, il n’aurait pas continué à travailler dans l’entreprise et se baser en conséquence sur le revenu qu’il pourrait escompter sur le marché du travail, en fonction de ses capacités professionnelles et des circonstances personnelles (consid. 3.2 et 3.3). De plus, dans le cas d’un assuré qui avait été licencié pour des raisons autres que médicales, le TFA a confirmé qu’il convenait d’estimer le revenu sans invalidité en se fondant sur la situation qui aurait été celle de l’assuré après la résiliation des rapports de travail (ATFA non publié M 9/05 du 6 octobre 2006, consid. 3.3). Par ailleurs, il sied de relever que les rétributions fixées par les conventions collectives de travail sont sensiblement inférieures aux salaires moyens usuels dans</w:t>
      </w:r>
    </w:p>
    <w:p>
      <w:r>
        <w:t>A/2220/2008 - 12/14 - une branche, de sorte que seuls ceux-ci sont représentatifs pour établir le revenu déterminant (RCC 1986 p. 434 consid. 3b; ATFA non publié I 424/05 du 22 août 2006, consid. 4 résumé in : RSAS 2007 p. 64). Après l’obtention d’un CFC d’ébéniste en 1988, le recourant a exercé l’activité de menuisier ébéniste pendant 11 ans. Par conséquent, il faut admettre que, sans les troubles assurés et au vu de sa formation ainsi que de son parcours professionnel antérieur, il aurait continué à exercer son activité de menuisier ébéniste. Etant donné qu’il dispose de connaissances professionnelles spécialisées, il y a lieu de tenir compte d’un niveau 3 de qualification dans le secteur « Production » 20 (ESS 2006, table TA3b, travaux du bois, fabrication d’articles en bois, part au 13ème salaire comprise), soit un salaire mensuel de 5’236 fr., respectivement de 62’832 fr. par année. Contrairement à ce que soutient le recourant, il convient de prendre en considération les salaires statistiques des métiers du bois dès lors qu’il ne rend pas vraisemblable que, sans les troubles assurés, il aurait exercé une autre activité. En effet, lorsque avant l'atteinte à la santé, l'assuré a travaillé dans un domaine pendant de nombreuses années et qu'une activité dans un autre domaine n'entre pas en ligne de compte, il sied parfois de se référer aux salaires mensuels de secteurs particuliers, voire à des branches particulières (ATF non publié 8C_350/08 du 2 décembre 2008, consid. 2.4.2). De plus, au vu de la formation du recourant et de l’activité exercée, il ne se justifie pas, contrairement aux calculs de l’intimée, de retenir le niveau de qualification 1 + 2 correspondant aux travaux les plus exigeants et les tâches les plus difficiles, ou à un travail indépendant et très qualifié dans le secteur privé. En effet, l’on tient compte d’un tel niveau de qualification chez des personnes avant une formation universitaire ou équivalente (ATF non publié 8C_350/08 du 2 décembre 2008, consid. 2.4.3; ATFA non publié U 63/06 du 7 mars 2007, consid. 3.3.1). Pour 2007, il convient d'adapter ces chiffres en fonction de l'évolution des salaires de 2006 à 2007 de 1.3 % (indice des salaires nominaux et réels, 2005-2007, tableau T1.05, travail du bois et fabrication d'articles en bois [sans les meubles]) ce qui représente un revenu sans invalidité de 63’649 fr. (62'832 + 817). En outre, puisque les salaires bruts standardisés sont fondés sur un horaire de travail de quarante heures (ATF 129 V 410 consid. 3.1.2), le revenu statistique doit être adapté à l'horaire de travail qui était, en 2007, de 42.2 heures par semaine (OFS, durée normale de travail dans les entreprises selon la division économique, travail du bois, fabrication d'articles en bois), ce qui conduit à un montant de 67'150 fr. (63’649 x 42.2 : 40). En comparant ce revenu à celui d’invalide (69'600 fr.), on constate que grâce à sa réadaptation professionnelle, le recourant ne subit plus aucune perte de gain et que, partant, il n’a pas droit à une rente d’invalidité. Au demeurant, la prise en compte par l’intimée du revenu indiqué par l’entreprise Y_________ en 2007- soit de 72'752 fr. - à titre de revenu sans invalidité ne lèse</w:t>
      </w:r>
    </w:p>
    <w:p>
      <w:r>
        <w:t>A/2220/2008 - 13/14 - pas le recourant, contrairement à ce qu’il prétend, puisque, dans une telle hypothèse, le taux d’invalidité serait de 4% (72'752 - 69'600 : 72'752 x 100). De plus, en tant qu’ils tiennent compte de l’horaire de travail en vigueur dans l’entreprise en 2007, ces chiffres sont tout à fait utilisables et il n’y a pas lieu de les adapter à l’horaire de travail hebdomadaire dans l’entreprise X_________ en 2000 puisque, d’une part, cette entreprise a été dissoute et, d’autre part, rien n’indique qu’en 2007 l’horaire hebdomadaire de travail aurait continué à être de 42,5 heures.</w:t>
      </w:r>
    </w:p>
    <w:p>
      <w:r>
        <w:rPr>
          <w:b/>
        </w:rPr>
        <w:t>E. 9</w:t>
      </w:r>
    </w:p>
    <w:p>
      <w:r>
        <w:t>Au vu de ce qui précède, le recours, mal fondé, sera rejeté.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