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ATAS/305/2008 vom 10. März 2008</w:t>
      </w:r>
    </w:p>
    <w:p>
      <w:r>
        <w:t>GE Cour de justice, 2008-03-10, FR</w:t>
      </w:r>
    </w:p>
    <w:p>
      <w:r>
        <w:rPr>
          <w:b/>
        </w:rPr>
        <w:t xml:space="preserve">Quelle: </w:t>
      </w:r>
      <w:r>
        <w:t>https://mcp.opencaselaw.ch/entscheid/ge_gerichte_ATAS_305_2008</w:t>
      </w:r>
    </w:p>
    <w:p>
      <w:r>
        <w:t>FR: GE_GERICHTE ATAS/305/2008 du 10 mars 2008</w:t>
      </w:r>
    </w:p>
    <w:p>
      <w:r>
        <w:t>IT: GE_GERICHTE ATAS/305/2008 del 10 marzo 2008</w:t>
      </w:r>
    </w:p>
    <w:p>
      <w:pPr>
        <w:pStyle w:val="Heading2"/>
      </w:pPr>
      <w:r>
        <w:t>Erwägungen</w:t>
      </w:r>
    </w:p>
    <w:p>
      <w:r>
        <w:rPr>
          <w:b/>
        </w:rPr>
        <w:t>E. 1</w:t>
      </w:r>
    </w:p>
    <w:p>
      <w:r>
        <w:t>Par ordonnance du 10 mai 2007, le Tribunal de céans a déclaré le recours recevable.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éventuel à des prestations qui prendrait naissance au plus tôt en janvier 2003 (art. 29 al. 2 LAI; ATF 126 V 9 consid. 2b et les références).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Par ailleurs, le présent cas n'est pas soumis à la loi fédérale du 16 décembre 2005 modifiant la loi fédérale sur l'assurance-invalidité, entrée en vigueur le 1er juillet 2006 (RO 2006 2003), apportant notamment des modifications relatives à la procédure conduite devant le Tribunal cantonal des assurances (art. 52, 58 et 61 let. a LPGA), dès lors que le recours a été formé avant le 1er juillet 2006 (ch. II let. c des dispositions transitoires relatives à la modification du 16 décembre 2005).</w:t>
      </w:r>
    </w:p>
    <w:p>
      <w:r>
        <w:t>A/2039/2006 - 21/27 -</w:t>
      </w:r>
    </w:p>
    <w:p>
      <w:r>
        <w:rPr>
          <w:b/>
        </w:rPr>
        <w:t>E. 3</w:t>
      </w:r>
    </w:p>
    <w:p>
      <w:r>
        <w:t>Le litige consiste à déterminer si les atteintes à la santé que présente le recourant entraînent une incapacité de travail pouvant ouvrir droit, le cas échéant, à une rente de l'assurance-invalidité.</w:t>
      </w:r>
    </w:p>
    <w:p>
      <w:r>
        <w:rPr>
          <w:b/>
        </w:rPr>
        <w:t>E. 4</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c) Parmi les atteintes à la santé psychique, qui peuvent, comme les atteintes physiques, provoquer une invalidité au sens de l'art. 4 al. 1 LAI en liaison avec l'art.</w:t>
      </w:r>
    </w:p>
    <w:p>
      <w:r>
        <w:rPr>
          <w:b/>
        </w:rPr>
        <w:t>E. 8</w:t>
      </w:r>
    </w:p>
    <w:p>
      <w:r>
        <w:t>Le recourant obtenant gain de cause, une indemnité de 2'500 fr. lui sera accordée à titre de dépens.</w:t>
      </w:r>
    </w:p>
    <w:p>
      <w:r>
        <w:t>A/2039/2006 - 27/27 -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