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ATAS/304/2021 vom 6. April 2021</w:t>
      </w:r>
    </w:p>
    <w:p>
      <w:r>
        <w:t>GE Cour de justice, 2021-04-06, FR</w:t>
      </w:r>
    </w:p>
    <w:p>
      <w:r>
        <w:rPr>
          <w:b/>
        </w:rPr>
        <w:t xml:space="preserve">Quelle: </w:t>
      </w:r>
      <w:r>
        <w:t>https://mcp.opencaselaw.ch/entscheid/ge_gerichte_ATAS_304_2021</w:t>
      </w:r>
    </w:p>
    <w:p>
      <w:r>
        <w:t>FR: GE_GERICHTE ATAS/304/2021 du 6 avril 2021</w:t>
      </w:r>
    </w:p>
    <w:p>
      <w:r>
        <w:t>IT: GE_GERICHTE ATAS/304/2021 del 6 aprile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7</w:t>
      </w:r>
    </w:p>
    <w:p>
      <w:r>
        <w:t>a. Pour l’établissement des faits pertinents à ces deux sujets, il y a lieu d’appliquer les principes ordinaires régissant la procédure en matière d’assurances sociales, à</w:t>
      </w:r>
    </w:p>
    <w:p>
      <w:r>
        <w:t>A/3352/2020 - 9/14 -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Jacques Olivier PIGUET, in Commentaire romand de la loi sur la partie générale des assurances sociales, éd. par Anne-Sylvie DUPONT / Margit MOSER-SZELESS, 2018, [ci-après : CR-LPGA], n. 9 ss ad art. 43 ; Ghislaine FRÉSARD FELLAY / Bettina KAHIL-WOLFF / Stéphanie PERRENOUD, Droit suisse de la sécurité sociale, vol. II, 2015, p. 499 s. ; Ueli KIESER, ATSG-Kommentar, 3ème éd., 2015, n. 13 ss ad art. 43).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w:t>
      </w:r>
    </w:p>
    <w:p>
      <w:r>
        <w:t>A/3352/2020 - 10/14 - du 3 avril 2018 consid. 3 ; ATAS/763/2016 du 27 septembre 2016 consid. 4 et 5c), ou pour l'établissement, à titre incident dans une procédure administrative, de la réalisation d'une infraction pénale (ATF 138 V 74 consid. 7 ; arrêt du Tribunal fédéral 8C_592/2007 du 10 août 2008 consid. 5.3 ; ATAS/815/2019 du 10 septembre 2019 consid. 13c ; ATAS/35/2021 du 25 janvier 2021 consid. 6a). 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arrêt du Tribunal fédéral des assurances C 119/02 du 2 juin 2003 consid. 4).</w:t>
      </w:r>
    </w:p>
    <w:p>
      <w:r>
        <w:rPr>
          <w:b/>
        </w:rPr>
        <w:t>E. 8</w:t>
      </w:r>
    </w:p>
    <w:p>
      <w:r>
        <w:t>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Selon l'al. 5 de cette disposition, le Conseil fédéral édicte des dispositions sur : a. l’addition des dépenses reconnues et des revenus déterminants de membres d’une même famille; il peut prévoir des exceptions, notamment pour ceux des enfants qui donnent droit à une rente pour enfant de l’AVS ou de l’AI; b. l’évaluation des revenus déterminants, des dépenses reconnues et de la fortune; c. la prise en compte du revenu de l’activité lucrative pouvant raisonnablement être exigée de personnes partiellement invalides et de veuves sans enfants mineurs; d. la période à prendre en considération pour déterminer les revenus et les dépenses; e. à h. … Faisant usage de la délégation qui précède, le Conseil fédéral a édicté l'ordonnance du 15 janvier 1971 sur les prestations complémentaires à l'assurance-vieillesse, survivants et invalidité (OPC-AVS/AI - RS 831.301) qui précise, à son art. 14a, quel revenu d'activité lucrative retenir pour un assuré partiellement invalide, à savoir le montant effectivement obtenu par l'assuré dans la période déterminante (al. 1), mais au moins – s'agissant d'une personne âgée de moins de 60 ans touchant une rente partielle d'invalidité, pour un degré d'invalidité de 40 % à 49 %, le montant maximum destiné à la couverture des besoins vitaux (ci-après : le montant maximum) des personnes seules selon l'art. 10 al. 1 let. a ch. 1 LPC augmenté d'un tiers; le montant maximum en cas de taux d'invalidité de 50 % à 59 %; et les deux</w:t>
      </w:r>
    </w:p>
    <w:p>
      <w:r>
        <w:t>A/3352/2020 - 11/14 - tiers du montant maximum pour un taux d'invalidité de 60 % à 69 %, sauf dans les cas, ici non pertinents, mentionnés à l'al. 3 de ladite disposition.</w:t>
      </w:r>
    </w:p>
    <w:p>
      <w:r>
        <w:rPr>
          <w:b/>
        </w:rPr>
        <w:t>E. 9</w:t>
      </w:r>
    </w:p>
    <w:p>
      <w:r>
        <w:t>On rappellera que la décision entreprise portait sur plusieurs oppositions formées par le recourant contre des décisions concernant toutes la période débutant au 1er janvier 2019 et s'étendant jusqu'au 30 septembre 2020; le SPC a partiellement admis les oppositions formées par le recourant, en particulier en supprimant, dès le 1er janvier 2019, la prise en compte des gains potentiels retenus tant pour lui-même que pour son épouse, tenant compte des décisions de l'OAI du 20 février 2018 en ce qui concernait le bénéficiaire, et du 26 juillet 2018, concernant son épouse. Au vu du seul grief formulé par le recourant à l'encontre de la décision entreprise, - soit de reprocher à l'intimé de ne pas avoir supprimé la prise en compte de gains potentiels tant pour lui que pour son épouse aussi pour la période précédant le 1er janvier 2019, concluant ainsi à ce qu'aucun gain potentiel ne soit pris en compte dans les plans de calcul du SPC jusqu'au 31 décembre 2018, compte tenu de ce qui a été rappelé précédemment au sujet de l'objet du litige, respectivement des conclusions du recours, la question de la recevabilité même du recours pourrait se poser : en effet, le recourant n'élève aucune critique à l'égard de la période concernée par la décision sur oppositions entreprise, ses grief et conclusions portant uniquement sur la période antérieure au 1er janvier 2019, et concernant des décisions en force, ne concernant pas la période litigieuse. La question de la recevabilité du recours peut toutefois souffrir d'être laissée ouverte, le recours devant de toute manière être rejeté.</w:t>
      </w:r>
    </w:p>
    <w:p>
      <w:r>
        <w:rPr>
          <w:b/>
        </w:rPr>
        <w:t>E. 10</w:t>
      </w:r>
    </w:p>
    <w:p>
      <w:r>
        <w:t>Comme l'intimé l'a relevé dans sa réponse au recours, il semble que ce dernier constitue plus vraisemblablement une demande de reconsidération de décisions relatives à des périodes non concernées par la décision entreprise, lesdites décisions n'ayant fait l'objet d'aucune opposition étant ainsi en force. Or, le recourant avait formé une « demande de reconsidération » en date du 21 septembre 2020 (avant que ne soit rendue la décision sur oppositions entreprise) concernant la décision du 29 mai 2020; l'intimé relevait que ladite demande avait ainsi été traitée dans le cadre des trois oppositions concernées par la décision ici litigieuse comme faisant suite à l'opposition du 19 juin 2020, par quoi il faut comprendre que le SPC a, à tout le moins implicitement, refusé d'entrer en matière sur la reconsidération. L'art. 53 al. 2 LPGA prévoit que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w:t>
      </w:r>
    </w:p>
    <w:p>
      <w:r>
        <w:t>A/3352/2020 - 12/14 -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En l'occurrence, au vu de ce qui précède, on ne saurait considérer qu'au vu de la décision entreprise, l'intimé serait entré en matière sur la demande de reconsidération pour examiner si les conditions requises en étaient remplies; et dès lors que l'administration n'est pas tenue de reconsidérer les décisions en force, et qu'elle en a seulement la faculté, ni l'assuré ni le juge ne peut l'y contraindre. Le refus d'entrer en matière sur une demande de reconsidération ne peut pas faire l'objet d'un contrôle en justice. Ainsi, la chambre de céans ne peut quoi qu'il en soit examiner la pertinence des arguments avancés par le recourant.</w:t>
      </w:r>
    </w:p>
    <w:p>
      <w:r>
        <w:rPr>
          <w:b/>
        </w:rPr>
        <w:t>E. 11</w:t>
      </w:r>
    </w:p>
    <w:p>
      <w:r>
        <w:t>Enfin, à titre superfétatoire, la chambre de céans rappelle encore que, saisie d'un recours, elle se doit, en vertu de la maxime d'office, d'établir d’office les faits déterminants, avec la collaboration des parties, sans être liée par les faits allégués et les preuves offertes par les parties, n'étant pas non plus liée par les conclusions des parties et pouvant le cas échéant rendre une décision aggravant le sort du recourant, ou encore rendre une décision qui lui soit plus favorable que la décision entreprise, à condition toutefois d'avoir préalablement donné la possibilité aux parties de s'exprimer à ce sujet. Dans ce contexte, constatant que la décision entreprise rejetait l'opposition formée par le recourant contre la décision par laquelle il lui était réclamé la restitution d'un montant de CHF 3'256.- pour les subsides perçus indûment pour son fils pendant la période du 1er octobre 2019 au 30 juin 2020, mais qu'il ressortait toutefois du dossier de l'intimé que, selon un courriel du SAM au SPC du 3 septembre 2020, il était demandé au SPC de réduire le montant de la restitution du subside à CHF 423.40 (au lieu de CHF 3'256.- pour l'ensemble de la période concernée), et qu'au vu du rejet de l'opposition sur ce point, et des autres pièces figurant au dossier, il n'apparaissait pas clairement de la décision entreprise que le SPC aurait tenu compte de cette demande du SAM, elle a dûment interpellé l'intimé pour qu'il se prononce sur cette question. Au vu de la réponse de l'intimé, force est ainsi de constater qu'au-delà d'une imprécision de la décision entreprise, qui laissait entendre que la demande de restitution concernée portant sur le montant de CHF 3'256.- avait été confirmée par le SPC, la décision entreprise,</w:t>
      </w:r>
    </w:p>
    <w:p>
      <w:r>
        <w:t>A/3352/2020 - 13/14 - respectivement les services financiers du SPC, en ont bien tenu compte, de sorte que la décision querellée n'est pas non plus critiquable, à cet égard.</w:t>
      </w:r>
    </w:p>
    <w:p>
      <w:r>
        <w:rPr>
          <w:b/>
        </w:rPr>
        <w:t>E. 12</w:t>
      </w:r>
    </w:p>
    <w:p>
      <w:r>
        <w:t>Mal fondé, le recours doit être rejeté.</w:t>
      </w:r>
    </w:p>
    <w:p>
      <w:r>
        <w:rPr>
          <w:b/>
        </w:rPr>
        <w:t>E. 13</w:t>
      </w:r>
    </w:p>
    <w:p>
      <w:r>
        <w:t>La procédure est gratuite (art. 61 let. a LPGA ; art. 89H al. 1 LPA).</w:t>
      </w:r>
    </w:p>
    <w:p>
      <w:r>
        <w:t>A/3352/2020 - 14/14 -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