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ATAS/304/2015 vom 23. April 2015</w:t>
      </w:r>
    </w:p>
    <w:p>
      <w:r>
        <w:t>GE Cour de justice, 2015-04-23, FR</w:t>
      </w:r>
    </w:p>
    <w:p>
      <w:r>
        <w:rPr>
          <w:b/>
        </w:rPr>
        <w:t xml:space="preserve">Quelle: </w:t>
      </w:r>
      <w:r>
        <w:t>https://mcp.opencaselaw.ch/entscheid/ge_gerichte_ATAS_304_2015</w:t>
      </w:r>
    </w:p>
    <w:p>
      <w:r>
        <w:t>FR: GE_GERICHTE ATAS/304/2015 du 23 avril 2015</w:t>
      </w:r>
    </w:p>
    <w:p>
      <w:r>
        <w:t>IT: GE_GERICHTE ATAS/304/2015 del 23 aprile 2015</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Le délai de recours est de 30 jours (art. 60 al. 1 LPGA). Interjeté dans les formes et délais prescrits par la loi, le recours est recevable (art. 38 et 56 à 61 LPGA).</w:t>
      </w:r>
    </w:p>
    <w:p>
      <w:r>
        <w:t>A/2340/2014 - 4/8 -</w:t>
      </w:r>
    </w:p>
    <w:p>
      <w:r>
        <w:rPr>
          <w:b/>
        </w:rPr>
        <w:t>E. 4</w:t>
      </w:r>
    </w:p>
    <w:p>
      <w:r>
        <w:t>Le litige porte sur le bien-fondé et la quotité de la suspension de cinq jours du droit à l’indemnité infligée à la recourante pour son absence à un entretien de conseil.</w:t>
      </w:r>
    </w:p>
    <w:p>
      <w:r>
        <w:rPr>
          <w:b/>
        </w:rPr>
        <w:t>E. 5</w:t>
      </w:r>
    </w:p>
    <w:p>
      <w:r>
        <w:t>a. Aux termes de l’art. 17 LACI, l’assuré qui fait valoir des prestations d’assurance doit, avec l’assistance de l’office du travail compétent, entreprendre tout ce qu’on peut raisonnablement exiger de lui pour éviter le chômage ou l’abréger (al. 1). L'assuré est tenu d'accepter tout travail convenable qui lui est proposé. Il a l'obligation, lorsque l'autorité compétente le lui enjoint, de participer notamment aux entretiens de conseil (al. 3 let. b). b. En vertu de l’art. 30 al. 1 let. d LACI, le droit de l’assuré à l’indemnité est suspendu lorsqu’il est établi que celui-ci n’observe pas les prescriptions de contrôles du chômage ou les instructions de l’autorité compétente sans motif valable. c. Selon l’art. 16 al. 1 let. b de l’ordonnance sur l’assurance-chômage obligatoire et l’indemnité en cas d’insolvabilité du 31 août 1983 (ci-après : OACI), l’office compétent examine s’il y a motif à suspension lorsque l’assuré ne donne pas suite aux injonctions qui lui ont été adressées. S’il y a motif à suspension, il prononce la suspension par voie de décision, conformément à l’art. 16 al. 2 OACI.</w:t>
      </w:r>
    </w:p>
    <w:p>
      <w:r>
        <w:rPr>
          <w:b/>
        </w:rPr>
        <w:t>E. 6</w:t>
      </w:r>
    </w:p>
    <w:p>
      <w:r>
        <w:t>a. D’après la jurisprudence,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1er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8C_447/2008 du 16 octobre 2008 consid. 5.1, in DTA 2009 p. 271; 8C_834/2010 du 11 mai 2011 consid. 2.3; 8C_469/2010 du 9 février 2011 consid. 2.2).</w:t>
      </w:r>
    </w:p>
    <w:p>
      <w:r>
        <w:rPr>
          <w:b/>
        </w:rPr>
        <w:t>E. 7</w:t>
      </w:r>
    </w:p>
    <w:p>
      <w:r>
        <w:t>Selon l’art. 30 al. 3 3ème phrase LACI, la durée de la suspension est proportionnelle à la gravité de la faute de l’assuré et ne peut excéder, par motif de suspension,</w:t>
      </w:r>
    </w:p>
    <w:p>
      <w:r>
        <w:t>A/2340/2014 - 5/8 - 60 jours. Selon l’art. 45 al. 2 de l’ordonnance du 31 août 1983 sur l’assurance- chômage obligatoire et l’indemnité en cas d’insolvabilité (OACI), la durée de la suspension est de un à quinze jours en cas de faute légère, de seize à trente jours en cas de faute de gravité moyenne et de trente et un à soixante jours en cas de faute grave.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2015/D72, remplaçant l'ancien ch. D72 de la Circulaire relative à l'indemnité de chômage, en vigueur depuis le 1er janvier 2007).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8</w:t>
      </w:r>
    </w:p>
    <w:p>
      <w:r>
        <w:t>a.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b.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w:t>
      </w:r>
    </w:p>
    <w:p>
      <w:r>
        <w:t>A/2340/2014 - 6/8 -</w:t>
      </w:r>
    </w:p>
    <w:p>
      <w:r>
        <w:rPr>
          <w:b/>
        </w:rPr>
        <w:t>E. 9</w:t>
      </w:r>
    </w:p>
    <w:p>
      <w:r>
        <w:t>Enfin, 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il n’est pas contesté que la recourante ne s’est pas présentée à l’entretien de conseil du 19 mai 2014. L’intéressée allègue qu’elle ignorait l’existence de ce rendez-vous dans la mesure où une panne informatique l’a empêchée de prendre connaissance de la convocation transmise par courriel. Elle soutient également ne pas avoir reçu le double de la convocation dont l’intimé soutient qu’il lui a été adressé par pli simple. L’intimé soutient quant à lui que, dans la mesure où l’assurée attendait une réponse à son courriel du 8 mai 2014 et savait son ordinateur en panne, elle aurait dû prendre les dispositions nécessaires pour relever son courrier électronique.</w:t>
      </w:r>
    </w:p>
    <w:p>
      <w:r>
        <w:rPr>
          <w:b/>
        </w:rPr>
        <w:t>E. 11</w:t>
      </w:r>
    </w:p>
    <w:p>
      <w:r>
        <w:t>À titre préalable, la chambre de céans estime que la convocation à l’entretien de conseil transmise par courriel le 15 mai 2014 doit être considérée comme valablement notifiée. D’une part, la recourante ne conteste pas avoir reçu cette convocation, puisqu’elle soutient ne pas l’avoir « vue » en raison d’une panne d’ordinateur. D’autre part, rien ne permet de douter du fait que ce document a été valablement délivré à son adresse électronique, puisque la copie du courriel a été produite par l’intimé, que l’adresse du destinataire correspond bien à celle de l’assurée et que ledit courriel fait suite à un échange de messages électroniques entre la conseillère et l’assurée, notamment dans le cadre d’une précédente demande de report d’entretien en septembre 2013 (cf. ATAS/191/2014 du 11 février 2014, consid. 7).</w:t>
      </w:r>
    </w:p>
    <w:p>
      <w:r>
        <w:rPr>
          <w:b/>
        </w:rPr>
        <w:t>E. 12</w:t>
      </w:r>
    </w:p>
    <w:p>
      <w:r>
        <w:t>Il convient à présent d’examiner si l’absence de l’assurée à l’entretien de conseil du 19 mai 2014 est justifiée par un motif valable. En premier lieu, la chambre de céans constate que la recourante n’a produit aucune pièce susceptible d’étayer ses dires quant à la panne informatique dont elle a fait l’objet et la date à laquelle elle serait survenue. En second lieu, il apparaît peu vraisemblable que l’intéressée ait été victime simultanément d’une panne informatique et d’une erreur d’acheminement ou de distribution du courrier, l’empêchant de prendre connaissance tant de la convocation adressée par courriel que du double envoyé par courrier postal.</w:t>
      </w:r>
    </w:p>
    <w:p>
      <w:r>
        <w:t>A/2340/2014 - 7/8 - Quand bien même pareille coïncidence était établie, il incombait effectivement à la recourante, bénéficiaire des prestations de chômage, de prendre toute disposition efficace pour s’assurer que les communications de l’intimé lui parviennent (cf. ATAS/231/2013 du 4 mars 2013, consid. 2b), par exemple en consultant sa messagerie électronique par un autre biais ou encore en téléphonant à sa conseillère afin de s’enquérir de la date à laquelle avait été repoussé l’entretien dont elle avait réclamé le report. Force est de constater que la recourante n’a entrepris aucune démarche en ce sens et ne s’est pas préoccupée de la suite donnée à son courriel du 8 mai 2014. En définitive, force est d’admettre qu’elle a ainsi failli à ses obligations vis-à-vis de l’assurance-chômage, de sorte qu’une suspension de son droit aux indemnités de chômage se justifie.</w:t>
      </w:r>
    </w:p>
    <w:p>
      <w:r>
        <w:rPr>
          <w:b/>
        </w:rPr>
        <w:t>E. 13</w:t>
      </w:r>
    </w:p>
    <w:p>
      <w:r>
        <w:t>Quant à la quotité de la suspension - cinq jours -, elle correspond à la sanction minimale pour un premier manquement selon le barème du SECO et respecte dès lors les principes de la proportionnalité et de l’égalité de traitement. Partant, le recours est rejeté.</w:t>
      </w:r>
    </w:p>
    <w:p>
      <w:r>
        <w:t>A/2340/2014 - 8/8 -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