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ATAS/303/2016 vom 19. April 2016</w:t>
      </w:r>
    </w:p>
    <w:p>
      <w:r>
        <w:t>GE Cour de justice, 2016-04-19, FR</w:t>
      </w:r>
    </w:p>
    <w:p>
      <w:r>
        <w:rPr>
          <w:b/>
        </w:rPr>
        <w:t xml:space="preserve">Quelle: </w:t>
      </w:r>
      <w:r>
        <w:t>https://mcp.opencaselaw.ch/entscheid/ge_gerichte_ATAS_303_2016</w:t>
      </w:r>
    </w:p>
    <w:p>
      <w:r>
        <w:t>FR: GE_GERICHTE ATAS/303/2016 du 19 avril 2016</w:t>
      </w:r>
    </w:p>
    <w:p>
      <w:r>
        <w:t>IT: GE_GERICHTE ATAS/303/2016 del 19 aprile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l'espèce, la Fondation de prévoyance du Groupe Morval a indiqué la prestation de sortie de la demanderesse comprenant les intérêts réglementaires jusqu’au 31 août 2013, et non au 31 mars 2014. La chambre de céans doit par conséquent procéder au calcul des intérêts sur la somme de CHF 5'626.- du 6 octobre 2000 au 31 mars 2014. Par conséquent, les intérêts dus à la demanderesse sur la somme de CHF 5’626.- existant au 6 octobre 2000 se montent à CHF 2'253.25.</w:t>
      </w:r>
    </w:p>
    <w:p>
      <w:r>
        <w:rPr>
          <w:b/>
        </w:rPr>
        <w:t>E. 4</w:t>
      </w:r>
    </w:p>
    <w:p>
      <w:r>
        <w:t>En l’espèce, le juge de première instance a ordonné le partage par moitié des prestations de sortie acquises par les demandeurs entre le 6 octobre 2000 et le 31 mars 2014.</w:t>
      </w:r>
    </w:p>
    <w:p>
      <w:r>
        <w:t>A/4274/2015 5/6</w:t>
      </w:r>
    </w:p>
    <w:p>
      <w:r>
        <w:rPr>
          <w:b/>
        </w:rPr>
        <w:t>E. 5</w:t>
      </w:r>
    </w:p>
    <w:p>
      <w:r>
        <w:t>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1er mars 2007). La pratique admet ainsi que les parties choisissent un moment antérieur pour le calcul de la prestation de sortie à partager (ATF 132 V 240).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w:t>
      </w:r>
    </w:p>
    <w:p>
      <w:r>
        <w:rPr>
          <w:b/>
        </w:rPr>
        <w:t>E. 6</w:t>
      </w:r>
    </w:p>
    <w:p>
      <w:r>
        <w:t>Selon les documents produits, les avoirs LPP du demandeur accumulés jusqu’au 31 mars 2014 s'élèvent à CHF 65'339.93 (19'933.43 + 45'406.50). De ce montant, il convient de déduire la prestation acquise par le demandeur au jour du mariage, soit CHF 6'400.85, intérêts au 31 mars 2014 compris. La prestation de libre passage à partager du demandeur est ainsi de CHF 58'939.08 (65'339.93 - 6'400.85). La prestation acquise par la demanderesse au 31 mars 2014 est de CHF 95'013.65. De ce montant, il convient de déduire la prestation acquise au jour du mariage, ainsi que les intérêts au 31 mars 2014, soit CHF 7'879.25. La prestation de libre passage à partager de la demanderesse est dès lors de CHF 87'134.40 (95'013.65 - 7'879.25). Ainsi le demandeur doit à son ex-épouse le montant de CHF 29'469.55 (CHF 58'939.08 : 2) et celle-ci doit à celui-là le montant de CHF 43'567.20 (CHF 87'134.40 : 2), de sorte que c’est la demanderesse qui doit à son ex-époux le montant de CHF 14'097.65 (43'567.20 - 29'469.55).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A/4274/2015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