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ATAS/302/2022 vom 28. März 2022</w:t>
      </w:r>
    </w:p>
    <w:p>
      <w:r>
        <w:t>GE Cour de justice, 2022-03-28, FR</w:t>
      </w:r>
    </w:p>
    <w:p>
      <w:r>
        <w:rPr>
          <w:b/>
        </w:rPr>
        <w:t xml:space="preserve">Quelle: </w:t>
      </w:r>
      <w:r>
        <w:t>https://mcp.opencaselaw.ch/entscheid/ge_gerichte_ATAS_302_2022</w:t>
      </w:r>
    </w:p>
    <w:p>
      <w:r>
        <w:t>FR: GE_GERICHTE ATAS/302/2022 du 28 mars 2022</w:t>
      </w:r>
    </w:p>
    <w:p>
      <w:r>
        <w:t>IT: GE_GERICHTE ATAS/302/2022 del 28 marzo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60 LPGA).</w:t>
      </w:r>
    </w:p>
    <w:p>
      <w:r>
        <w:rPr>
          <w:b/>
        </w:rPr>
        <w:t>E. 2</w:t>
      </w:r>
    </w:p>
    <w:p>
      <w:r>
        <w:t>Le litige porte sur le droit du recourant à une rente d’invalidité, singulièrement sur l’évaluation de sa capacité de travail.</w:t>
      </w:r>
    </w:p>
    <w:p>
      <w:r>
        <w:rPr>
          <w:b/>
        </w:rPr>
        <w:t>E. 3</w:t>
      </w:r>
    </w:p>
    <w:p>
      <w:r>
        <w:t>Est réputée invalidité, l'incapacité de gain totale ou partielle présumée permanente ou de longue durée, résultant d'une infirmité congénitale, d'une maladie ou d'un accident (art. 8 al. 1 LPGA et 4 al. 1 LAI).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w:t>
      </w:r>
    </w:p>
    <w:p>
      <w:r>
        <w:t>A/2500/2020 - 4/6 - LPGA. Selon l’art. 29 al. 3 LAI, la rente est versée dès le début du mois au cours duquel le droit prend naissance.</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A/2500/2020 - 5/6 -</w:t>
      </w:r>
    </w:p>
    <w:p>
      <w:r>
        <w:rPr>
          <w:b/>
        </w:rPr>
        <w:t>E. 5</w:t>
      </w:r>
    </w:p>
    <w:p>
      <w:r>
        <w:t>En l’occurrence, la chambre de céans a ordonné la réalisation d’une expertise bidisciplinaire rhumatologique et psychiatrique.</w:t>
      </w:r>
    </w:p>
    <w:p>
      <w:r>
        <w:rPr>
          <w:b/>
        </w:rPr>
        <w:t>E. 5.1</w:t>
      </w:r>
    </w:p>
    <w:p>
      <w:r>
        <w:t>Les rapports des experts et l’appréciation consensuelle du cas effectuée par ceux-ci ont été considérés par les parties comme revêtant pleine valeur probante. Les conclusions de cette expertise judiciaire bidisciplinaire peuvent ainsi être suivies, de sorte que le recourant est reconnu totalement incapable de travailler depuis mai 2017.</w:t>
      </w:r>
    </w:p>
    <w:p>
      <w:r>
        <w:rPr>
          <w:b/>
        </w:rPr>
        <w:t>E. 5.2</w:t>
      </w:r>
    </w:p>
    <w:p>
      <w:r>
        <w:t>Compte tenu du dépôt de la demande de prestations en novembre 2017 et de l’échéance du délai de carence d’un an (art. 28 al. 1 et 29 al. 1 LAI), le recourant a droit à une rente entière d’invalidité dès le 1er mai 2018.</w:t>
      </w:r>
    </w:p>
    <w:p>
      <w:r>
        <w:rPr>
          <w:b/>
        </w:rPr>
        <w:t>E. 5.3</w:t>
      </w:r>
    </w:p>
    <w:p>
      <w:r>
        <w:t>Selon l’art. 26 al. 2 et 4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(al. 1) ; n’ont pas droit à des intérêts moratoires (let. a) la personne ayant droit aux prestations ou ses héritiers, lorsque les prestations sont versées rétroactivement à des tiers, (let. b) les tiers qui ont consenti des avances ou provisoirement pris en charge des prestations au sens de l’art. 22, al. 2, et auxquels les prestations accordées rétroactivement ont été cédées et (let. c) les autres assurances sociales qui ont provisoirement pris en charge des prestations au sens de l’art. 70 (al. 2). Il incombera en conséquence à l’intimé d’examiner le droit du recourant à la perception d’intérêts moratoires.</w:t>
      </w:r>
    </w:p>
    <w:p>
      <w:r>
        <w:rPr>
          <w:b/>
        </w:rPr>
        <w:t>E. 6</w:t>
      </w:r>
    </w:p>
    <w:p>
      <w:r>
        <w:t>Au vu de l’absence, d’une part, de valeur probante de l’expertise du Dr D______ et, d’autre part, d’instruction médicale rhumatologique, il convient de mettre les frais d’expertise en CHF 16'000.-, en ce qui concerne l’expertise psychiatrique, et CHF 8'679.15, en ce qui concerne l’expertise rhumatologique, à charge de l’intimé. Le recourant, obtenant gain de cause et étant assisté d'un conseil, a droit à des dépens qui seront fixés à CHF 4'000.- et mis à la charge de l'intimé (art. 61 let. g LPGA). Par ailleurs, un émolument de CHF 200.- est mis à charge de l’intimé.</w:t>
      </w:r>
    </w:p>
    <w:p>
      <w:r>
        <w:t>A/2500/2020 - 6/6 -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