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ATAS/302/2010 vom 23. März 2010</w:t>
      </w:r>
    </w:p>
    <w:p>
      <w:r>
        <w:t>GE Cour de justice, 2010-03-23, FR</w:t>
      </w:r>
    </w:p>
    <w:p>
      <w:r>
        <w:rPr>
          <w:b/>
        </w:rPr>
        <w:t xml:space="preserve">Quelle: </w:t>
      </w:r>
      <w:r>
        <w:t>https://mcp.opencaselaw.ch/entscheid/ge_gerichte_ATAS_302_2010</w:t>
      </w:r>
    </w:p>
    <w:p>
      <w:r>
        <w:t>FR: GE_GERICHTE ATAS/302/2010 du 23 mars 2010</w:t>
      </w:r>
    </w:p>
    <w:p>
      <w:r>
        <w:t>IT: GE_GERICHTE ATAS/302/2010 del 23 marzo 2010</w:t>
      </w:r>
    </w:p>
    <w:p>
      <w:pPr>
        <w:pStyle w:val="Heading2"/>
      </w:pPr>
      <w:r>
        <w:t>Erwägungen</w:t>
      </w:r>
    </w:p>
    <w:p>
      <w:r>
        <w:rPr>
          <w:b/>
        </w:rPr>
        <w:t>E. 1</w:t>
      </w:r>
    </w:p>
    <w:p>
      <w:r>
        <w:t>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qui sont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(ATF 130 V 446 consid. 1 et ATF 129 V 4 consid. 1.2). Les modifications légales contenues dans la LPGA cons- tituent, en règle générale, une version formalisée dans la loi, de la jurisprudence re- lative aux notions correspondantes avant l'entrée en vigueur de la LPGA; il n'en dé- coule aucune modification du point de vue de leur contenu, de sorte que la jurispru- dence développée à leur propos peut être reprise et appliquée (ATF 130 V 345 consid. 3). Les modifications de la LAI du 6 octobre 2006 (5ème révision de la LAI), entrées en vigueur le 1er janvier 2008, sont régies par le même principe et ne sont donc pas applicables.</w:t>
      </w:r>
    </w:p>
    <w:p>
      <w:r>
        <w:t>A/4204/2009 - 7/18 -</w:t>
      </w:r>
    </w:p>
    <w:p>
      <w:r>
        <w:rPr>
          <w:b/>
        </w:rPr>
        <w:t>E. 3</w:t>
      </w:r>
    </w:p>
    <w:p>
      <w:r>
        <w:t>Le délai de recours est de 30 jours (art. 60 al. 1 LPGA). La décision date du 27 oc- tobre 2009, de sorte que le recours du 23 novembre 2009 a été formé en temps utile (art. 39 al. 1 et 60 al. 2 LPGA). Interjeté dans la forme et le délai prévus par la loi, le recours est recevable, en vertu des art. 56 et ss LPGA.</w:t>
      </w:r>
    </w:p>
    <w:p>
      <w:r>
        <w:rPr>
          <w:b/>
        </w:rPr>
        <w:t>E. 4</w:t>
      </w:r>
    </w:p>
    <w:p>
      <w:r>
        <w:t>Le litige porte sur le droit de la recourante à des mesures d’orientation profession- nelle ainsi qu’à une rente entière dès le 14 juillet 2005, plus spécialement sur l’appréciation de sa capacité résiduelle de travail et le calcul du taux d’invalidité.</w:t>
      </w:r>
    </w:p>
    <w:p>
      <w:r>
        <w:rPr>
          <w:b/>
        </w:rPr>
        <w:t>E. 5</w:t>
      </w:r>
    </w:p>
    <w:p>
      <w:r>
        <w:t>Est réputée invalidité, l'incapacité de gain totale ou partielle présumée permanente ou de longue durée, résultant d'une infirmité congénitale, d'une maladie ou d'un ac- 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 que. En cas d'incapacité de travail de longue durée, l'activité qui peut être exigée de lui peut aussi relever d'une autre profession ou d'un autre domaine d'activité. En vertu de l'art. 7 LPGA, est réputée incapacité de gain toute diminution de l'ensem- ble ou d'une partie des possibilités de gain de l'assuré sur un marché du travail équi- libré dans son domaine d'activité, si cette diminution résulte d'une atteinte à sa santé physique, mentale ou psychique et qu'elle persiste après les traitements et les mesu- res de réadaptation exigibles. Pour évaluer le taux d'invalidité, le revenu que l'assu- ré aurait pu obtenir s'il n'était pas invalide est comparé avec celui qu'il pourrait ob- tenir en exerçant l'activité qui peut raisonnablement être exigée de lui après les trai- tements et les mesures de réadaptation, sur un marché du travail équilibré (art. 16 LPGA et art. 28 al. 2 LAI). En vertu de l’art. 28 al. 1 LAI,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 ment sur le travail que l'assuré a fourni ou s'estime lui-même capable de fournir de- puis le début de son incapacité de travail, ceci pour éviter que le recourant soit tenté d'influencer à son profit, le degré de son invalidité (ATF 106 V 86 consid. 2).</w:t>
      </w:r>
    </w:p>
    <w:p>
      <w:r>
        <w:rPr>
          <w:b/>
        </w:rPr>
        <w:t>E. 6</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w:t>
      </w:r>
    </w:p>
    <w:p>
      <w:r>
        <w:t>A/4204/2009 - 8/18 -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 tances particulières que les doutes au sujet de l'impartialité d'une appréciation peu- vent être considérés comme objectivement fondés (ATF 125 V 351 consid. 3b/ee).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 dernier (ATF 125 V 351 consid. 3b/bb et cc).</w:t>
      </w:r>
    </w:p>
    <w:p>
      <w:r>
        <w:rPr>
          <w:b/>
        </w:rPr>
        <w:t>E. 7</w:t>
      </w:r>
    </w:p>
    <w:p>
      <w:r>
        <w:t>Dans un premier moyen la recourante conteste les conclusions du rapport du Dr N__________ en tant que son anamnèse est incomplète, tant sur le plan psychi- que qu’allergique, et qu’il ne tient pas compte de limitations dues à son hyperlaxité ainsi qu’à ses migraines. Par conséquent, il y a lieu d’examiner la valeur probante de ce rapport. Dans son rapport du 4 mars 2008, le Dr N__________ énumère les plaintes de la recourante consistant en douleurs avec inflammations de type tendinite au niveau des poignets, plus spécialement de la base des pouces, présentes depuis le début des années 1990, douleurs aux épaules, cervicalgies depuis l'accident du 12 janvier 2000 avec également des douleurs dorsales et lombaires, maux de tête sous forme d'hémicrânies avec nausées et vomissements, douleurs au niveau des doigts et hy- perlaxité ligamentaire. À l'examen clinique, il constate une mobilité lombaire nor- male, une mobilité cervicale également normale mis à part une limitation de la flexion cervicale et une mobilité des articulations périphériques bien conservée. Il</w:t>
      </w:r>
    </w:p>
    <w:p>
      <w:r>
        <w:t>A/4204/2009 - 9/18 - note des signes de périarthrite scapulo-humérale à l'épaule gauche avec des tests cliniques mettant en évidence une tendinite du sus-épineux et un conflit sous- acromial, des douleurs à la face dorsale du poignet gauche à la palpation et à la mo- bilisation sans signes de synovite ou de tendinite locale. Il met également en évi- dence une douleur de l'épicondyle gauche, mais sans signes d'épicondylite et la pré- sence d'une hyperlaxité ligamentaire avec un score de Beighton de 6/9. Le Dr N__________ a rédigé son rapport après avoir étudié les pièces du dossier, établi une anamnèse, pris note des plaintes de la recourante et tenu compte des constatations qu’il a faites lors de son examen clinique. Il procède à une discussion de l'ensemble des renseignements recueillis et à une appréciation de la capacité ré- siduelle de travail. Enfin, ses conclusions sont motivées en tant que, notamment, il explique que les diagnostics qu’il a posés et son appréciation de la capacité de tra- vail reposent sur les examens radiologiques à disposition. Ces derniers révèlent un bec acromial antéro-inférieur gauche réduisant considérablement l'espace acromial gauche, la présence de petites érosions en regard du trochiter pouvant traduire un syndrome d’impingement, des troubles statiques dégénératifs avec un antélisthésis de grade I de C2 sur C3 et un rétrolisthésis instable de grade I de C5 sur C6. Par conséquent, ses conclusions reposent sur des critères objectifs.</w:t>
      </w:r>
    </w:p>
    <w:p>
      <w:r>
        <w:rPr>
          <w:b/>
        </w:rPr>
        <w:t>E. 8</w:t>
      </w:r>
    </w:p>
    <w:p>
      <w:r>
        <w:t>S’agissant des divers griefs que formule la recourante, même si le Dr N__________ n’a pas mentionné dans son rapport rhumatologique les troubles psychiques dont elle a souffert auparavant, ni n’a retenu de diagnostic en relation avec son allergie aux produits, on ne voit pas en quoi ces éléments permettent de douter de la valeur probante de son rapport. En effet, la recourante ne s’est nullement plainte de trou- bles psychiques, ni d’une telle allergie lors de l’examen et même le médecin traitant ne fait nulle mention de ces troubles dans ces divers rapports. Il précise, au contraire, qu’il n’a pas fait état de troubles mixtes anxio-dépressifs et de personnali- té borderline, car la recourante allait mieux. Quant à l’hyperlaxité, le médecin du SMR a considéré, au vu de son examen clini- que, qu’elle n’avait pas d’incidence sur la capacité de travail. Les divers rapports du Dr L__________ ne retiennent pas davantage le diagnostic d’hyperlaxité. En effet, dans son rapport du 17 juin 2007, il diagnostique des « cervico-brachialgies et épaules des deux côtés » sans poser de diagnostic à la main droite, tout en précisant que la recourante souffre de troubles à ce niveau. Dans celui du 17 décembre 2009, il retient une tendinopathie de la coiffe avec un conflit sous-acromial et mentionne une limitation fonctionnelle de l’utilisation des bras gauche et droit sans indiquer de troubles à la main droite. Par conséquent, soit ces rapports sont contradictoires et ne permettent pas de remettre en question les conclusions du Dr N__________, soit les troubles se sont péjorés postérieurement à la décision litigieuse. En effet, la recou- rante n’invoquait aucune plainte concernant les mains, lors de son entretien avec la réadaptatrice du 21 août 2009. Par ailleurs, la description que fait l’inspecteur de l’assurance perte de gain de l’hyperlaxité, dans son rapport du 14 décembre 2006,</w:t>
      </w:r>
    </w:p>
    <w:p>
      <w:r>
        <w:t>A/4204/2009 - 10/18 - ne correspond pas à un avis médical, de sorte que cette pièce ne saurait remettre en cause l'avis du médecin du SMR (cf. ATFA non publié I 751/03). Au demeurant, le rapport de la Dresse O__________ ne se prononce pas sur une incapacité de travail en rapport avec ce trouble de sorte qu’il n’est d’aucun secours.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il appar- tient à l’expert d’apprécier la capacité résiduelle de travail du patient sur la base de critères objectifs, notamment du dossier radiologique et de son examen clinique afin de déterminer si les plaintes de l’assuré concordent avec les observations médi- cales concluantes. Si tel n’est pas le cas, il est tout à fait cohérent qu’il ne retienne aucune incapacité de travail. Le Dr N__________ s’étant basé sur des éléments ob- jectifs pour nier un caractère incapacitant à ce trouble, son appréciation n’est pas critiquable. S’agissant du grief concernant le diagnostic de migraines que le Dr N__________ n’a pas retenu, il convient de préciser que la question du diagnostic exact importe peu, puisque du point de vue de l'assurance-invalidité, seuls sont déterminants les effets de l'atteinte à la santé sur la capacité de travail et, partant, sur la capacité de gain, de l'assurée. En effet, en soi, un diagnostic ne signifie pas encore qu'il existe une atteinte ayant valeur de maladie et des effets sur la capacité de travail et de gain (cf. ATF 127 V 298 consid. 4c; ATFA non publié I 79/04 du 12 avril 2005, consid. 5.4). Or, le fait que la Dresse Q__________ indique que « la patiente est alors limitée dans ses activités » repose sur les seuls dires de la recourante et ne cor- respond pas à une appréciation basée sur des éléments objectifs. De plus, le méde- cin traitant ne mentionne pas de migraines dans ses divers rapports et on peut dou- ter que ces troubles, qui se manifestent une à deux fois par mois, puissent entraîner une diminution de la capacité de travail (cf. ATF non publié 9C_561/2009 du 14 janvier 2010, consid. 4.3). Enfin, aucun de ces médecins ne fait état d’éléments objectifs pertinents que le Dr N__________ n’aurait pas pris en considération. Or, au vu de la divergence consacrée par la jurisprudence entre un mandat de soins et un mandat d'expertise, une évaluation médicale complète et approfondie ne saurait être remise en cause au seul motif qu'un ou plusieurs médecins ont une opinion divergente. Il ne pourrait en aller différemment que si lesdits médecins faisaient état d'éléments objectivement vérifiables ayant été ignorés dans le cadre de l'évaluation globale et suffisamment pertinents pour en remettre en cause les conclusions (ATF non publié 9C_181/2007 du 22 janvier 2008, consid. 3.1 et ATFA non publié I 701/05 du 5 janvier 2007, consid. 2; ATF 124 I 170 consid. 4 p. 175).</w:t>
      </w:r>
    </w:p>
    <w:p>
      <w:r>
        <w:t>A/4204/2009 - 11/18 - Il s'ensuit que le rapport d'expertise du médecin du SMR remplit toutes les condi- tions jurisprudentielles permettant de lui reconnaître une pleine valeur probante. Par conséquent, le Tribunal de céans suivra ses conclusions et retiendra l’existence d’une incapacité de travail dans l’activité antérieure à partir du 14 juillet 2005, ainsi que l’absence d’incapacité de travail dans une activité adaptée.</w:t>
      </w:r>
    </w:p>
    <w:p>
      <w:r>
        <w:rPr>
          <w:b/>
        </w:rPr>
        <w:t>E. 9</w:t>
      </w:r>
    </w:p>
    <w:p>
      <w:r>
        <w:t>Dans un second moyen, la recourante fait grief à l’intimé de ne pas avoir procédé à une instruction sur le plan psychique au vu de ses troubles antérieurs et de son état dépressif chronique grave avec capacité de travail d’au maximum 50% ressortant du rapport de la Dresse P__________ du 27 novembre 2009. Le juge des assurances sociales apprécie la légalité des décisions attaquées, en règle générale, d'après l'état de fait existant au moment où la décision litigieuse a été ren- due, les faits survenus postérieurement, et qui ont modifié cette situation, devant normalement faire l'objet d'une nouvelle décision administrative (ATF 121 V 366 consid. 1b et la référence), sauf s'ils sont étroitement liés à l'objet du litige et de na- ture à influencer l'appréciation au moment où la décision attaquée a été rendue (ATF 99 V 102 et les arrêts cités; ATF non publié 9C_449/2007 du 28 juillet 2008, consid. 2.2). En l’espèce, dans le cadre de la présente procédure, il n’y a pas lieu de prendre en considération le rapport la Dresse P__________, car il est postérieur à la décision entreprise du 27 octobre 2009, ne se réfère pas à la classification internationale, n’est pas motivé et est en contradiction avec les renseignements donnés par la re- courante à la réadaptatrice. En effet, selon le rapport du 21 septembre 2009 de cette dernière, le suivi par la psychiatre date de mai 2009, soit une durée de cinq mois à la date de la décision, qui ne permet pas de considérer que l’incapacité de travail est durable au sens de l’art. 28 al. 1 let b LAI. De plus, le motif du traitement est un conflit de couple, de sorte qu’il est douteux qu’un diagnostic d’état dépressif chro- nique grave correspondant aux critères de la classification internationale puisse être posé, ce d’autant plus que, dans son rapport du 17 décembre 2009, le médecin trai- tant ne signale aucun trouble psychique. La recourante a néanmoins la possibilité de saisir l'administration d'une nouvelle demande de prestations de l'assurance-invalidité, si elle établit que, postérieurement à la décision litigieuse, son état de santé s'est modifié de manière à influencer ses droits. Au vu de ce qui précède, il n'existe aucun motif justifiant de procéder à une instruc- tion complémentaire sur le plan psychique (cf. appréciation anticipée des preuves; ATF 122 II 469 consid. 4a et ATF 119 V 344 consid. 3c; ATFA non publié I 654/02 du 30 juillet 2003, consid. 4.5).</w:t>
      </w:r>
    </w:p>
    <w:p>
      <w:r>
        <w:t>A/4204/2009 - 12/18 -</w:t>
      </w:r>
    </w:p>
    <w:p>
      <w:r>
        <w:rPr>
          <w:b/>
        </w:rPr>
        <w:t>E. 10</w:t>
      </w:r>
    </w:p>
    <w:p>
      <w:r>
        <w:t>Dans un troisième moyen, la recourante allègue qu’au vu de ses importantes limita- tions fonctionnelles, il n’existe pas d’activité exigible de sa part, d’autant plus que l’intimé n’a pas précisé les activités adaptées entrant en considération.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 fiés, tant au regard des exigences professionnelles et intellectuelles qu'au niveau des sollicitations physiques (ATF 110 V 273 consid. 4b p. 276; RCC 1991 p. 329; ATF non publié 9C_279/2008 du 16 décembre 2008, consid. 3.2). Lorsqu'il s'agit d'examiner dans quelle mesure un assuré peut encore exploiter éco- nomiquement sa capacité de gain résiduelle sur le marché du travail entrant en considération pour lui (art. 28 al. 2 LAI), on ne saurait subordonner la concrétisa- tion des possibilités de travail et des perspectives de gain à des exigences excessi- ves. Il s'ensuit que pour évaluer l'invalidité, il n'y a pas lieu d'examiner la question de savoir si un invalide peut être placé eu égard aux conditions concrètes du marché du travail, mais uniquement de se demander s'il pourrait encore exploiter économi- quement sa capacité résiduelle de travail lorsque les places de travail disponibles correspondent à l'offre de la main d'oeuvre (VSI 1998 p. 296 consid. 3b et les réfé- rences). Il y a tout d’abord lieu de relever que l’attitude de la recourante est contradictoire, ce qui donne peu de crédits à ses griefs d’absence d’activité exigible. En effet, dans son recours, elle allègue ne pas pouvoir travailler sur un ordinateur, alors que dans l’annexe au rapport de l’inspecteur de l’assurance perte de gain, elle précisait être intéressée par une possibilité de travail sur ordinateur. Dans un cas similaire, où la recourante présentait une lésion massive de la coiffe des rotateurs des deux côtés, avec développement de signes dégénératifs sous- acromiaux et tendinopathie calcifiante des deux épaules ainsi qu’une forte limita- tion dans les mouvements d'élévation des bras, le Tribunal fédéral (ci-après : TF) a jugé que ces limitations fonctionnelles ne l’empêchaient pas de mettre en pratique sa capacité résiduelle de travail sur un marché équilibré du travail (ATFA non pu- blié I 787/04 du 9 août 2005, consid. 5.2). Il a considéré que rien n’indiquait que des activités d’ouvrière d'usine pour l'usinage et le fraisage de petite pièce, ouvrière de fabrique à l'ajustage, aide de laboratoire, ouvrière d'usine à la chaîne dans une fabrique d'ébauches, employée d'usine au décolletage n’étaient pas raisonnablement exigibles de la part de l’assurée au regard de son handicap. Il a retenu qu’au vu de ses limitations fonctionnelles, un nombre significatif d’activités légères étaient adaptées aux problèmes de santé de la recourante et accessibles sans aucune forma- tion professionnelle particulière. Dans un autre arrêt concernant un assuré souffrant,</w:t>
      </w:r>
    </w:p>
    <w:p>
      <w:r>
        <w:t>A/4204/2009 - 13/18 - notamment, de douleurs aux mains et de troubles statiques du rachis, il a également confirmé que le recourant était en mesure d’accomplir, par exemple, des tâches simples de surveillance, de vérification ou de contrôle ou encore des tâches d'ap- provisionnement de machines ou d'unités de production automatiques ou semi- automatiques (ATF I 805/05 non publié du 30 novembre 2006, consid. 5.3). La nécessité d’alterner les positions ne rend pas davantage illusoire la mise en va- leur de la capacité de travail entière de la recourante (ATF non publié 9C_749/2007 du 25 juin 2008, consid. 2.1 et 2.2). S’agissant de l’absence de désignation par l’intimé des activités compatibles avec ses limitations, le TF a déjà jugé qu'il eût été certainement judicieux que l'office AI donnât à la recourante, à titre d'information, des exemples d'activités adaptées qu'el- le peut encore exercer, mais qu’il convient néanmoins d'admettre que le marché du travail offre un éventail suffisamment large d'activités légères, dont on doit conve- nir qu'un nombre significatif sont adaptées aux limitations de la recourante et ac- cessibles sans aucune formation particulière (ATF non publié 9C_279/2008, op. cit., consid. 4). Etant donné que la recourante n'établit pas de manière convain- cante en quoi des activités simples de vérification ou de contrôle, dès lors qu'elles permettraient l'alternance des positions et ne nécessiteraient pas le soulèvement de charges de plus de cinq kilos, ne seraient pas exigibles au regard des limitations re- tenues, ses griefs ne peuvent être que rejetés.</w:t>
      </w:r>
    </w:p>
    <w:p>
      <w:r>
        <w:rPr>
          <w:b/>
        </w:rPr>
        <w:t>E. 11</w:t>
      </w:r>
    </w:p>
    <w:p>
      <w:r>
        <w:t>Il convient encore de procéder au calcul du taux d'invalidité. La comparaison des revenus s'effectue, en règle ordinaire, en chiffrant aussi exac- tement que possible les montants de ces deux revenus et en les confrontant l'un avec l'autre, la différence permettant de calculer le taux d'invalidité (méthode géné- rale de comparaison des revenus; ATF 128 V 30 consid. 1, 104 V 136 consid. 2a et 2b). Pour procéder à la comparaison des revenus, il convient de se placer au mo- ment de la naissance du droit à la rente; les revenus avec et sans invalidité doivent être déterminés par rapport à un même moment et les modifications de ces revenus susceptibles d'influencer le droit à la rente survenues jusqu'au moment où la déci- sion est rendue doivent être prises en compte (ATF 129 V 222 et ATF 128 V 174). En règle générale, le revenu hypothétique de la personne valide se détermine en établissant au degré de la vraisemblance prépondérante ce qu'elle aurait effective- ment pu réaliser au moment déterminant si elle était en bonne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w:t>
      </w:r>
    </w:p>
    <w:p>
      <w:r>
        <w:t>A/4204/2009 - 14/18 - le revenu d'invalide peut être évalué sur la base de données statistiques, telles qu'el- 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 ticulier (limitations liées au handicap, âge, années de service, nationalité/catégorie d'autorisation de séjour et taux d'occupation) et résulte d'une évaluation dans les li- mites du pouvoir d'appréciation. Une déduction globale maximum de 25 % sur le salaire statistique permet de tenir compte des différents éléments qui peuvent in- fluencer le revenu d'une activité lucrative (ATF 126 V 75 consid. 5b/aa-cc).</w:t>
      </w:r>
    </w:p>
    <w:p>
      <w:r>
        <w:rPr>
          <w:b/>
        </w:rPr>
        <w:t>E. 12</w:t>
      </w:r>
    </w:p>
    <w:p>
      <w:r>
        <w:t>En application de l'art. 29 al. 1 let. b LAI, pour procéder à la comparaison des reve- nus, contrairement à ce qu’a retenu l’intimé, il convient de se placer en 2006, puis- que l'incapacité de travail est attestée depuis le 14 juillet 2005 et que la demande de prestations date du 6 juin 2007 (art. 48 al. 2 LAI). Selon le questionnaire pour l'employeur du 19 juin 2007, le salaire de la recourante aurait été en 2006 de 4'530 fr. par heure sans atteinte à la santé, soit de 58'890 fr. par an (4'530 x 13), plus une prime de fidélité de 3'000 fr., représentant un revenu sans invalidité de 61'890 fr. conformément aux art. 25 al. 1 Règlement sur l'assu- rance-invalidité, du 17 janvier 1961 (RAI; RS 831.201) et 7 let. c Règlement sur l'assurance-vieillesse et survivants, du 31 octobre 1947 (RAVS; RS 831.101) Pour ce qui est du revenu d'invalide, la recourante n'ayant repris aucune activité lu- crative, il convient de se référer aux données de l'ESS. On ne saurait partager son point de vue selon lequel, seule la valeur afférente au secteur des services, à l'exclu- sion du secteur de la production, permettrait d'aboutir à une évaluation plus repré- sentative de sa capacité résiduelle de gain. En effet, le secteur des services com- prend également bon nombre de professions manifestement incompatibles avec l’allergie aux produits qu'elle présente. De plus, rien ne permet d'affirmer que le secteur de la production ne serait pas susceptible de proposer des activités adaptées à ses limitations (cf. ATF non publié 9C_93/2008 du 19 janvier 2009, consid. 6.3.3). Par conséquent, compte tenu de l'activité de substitution dans un emploi adapté, à savoir un travail léger et favorisant l'alternance des positions, le salaire de référence est celui auquel peuvent prétendre les femmes effectuant des activités simples et répétitives dans le secteur privé, toutes activités confondues (ESS 2006, TA1, p. 53, niveau de qualification 4). Il s'élève en 2006 à 48'228 fr. (4'019 x 12), part au 13ème salaire comprise. Etant donné que les salaires bruts standardisés sont fondés sur un horaire de travail de</w:t>
      </w:r>
    </w:p>
    <w:p>
      <w:r>
        <w:t>A/4204/2009 - 15/18 - quarante heures (ATF 129 V 410 consid. 3.1.2), le revenu statistique doit encore être adapté à l'horaire de travail en 2006 qui est de 41.7 heures par semaine (OFS, durée normale de travail dans les entreprises), soit à 50'277 fr. 70 (48'228 x 41.7 : 40). L’intimé n’a procédé à aucun abattement sur le revenu d’invalide, alors que la re- courante présente de nombreuses limitations fonctionnelles et qu’elle a travaillé 18 ans chez le même employeur à la date de la décision litigieuse, de sorte qu’elle ne peut mettre à profit sa capacité de travail (résiduelle) sur le plan économique que dans une mesure inférieure à la moyenne (ATFA non publiés I 848/05 du 29 no- vembre 2006, consid. 5.3.3 et I 617/03 du 4 juin 2004, consid. 5.2). Contrairement à ce qu’allègue la recourante, il n’y a en revanche pas lieu de tenir compte du man- que d’expérience dans un nouveau domaine et du manque de polyvalence, puis- qu’ils ne font pas partie des éléments justifiant une réduction du revenu d’invalide selon la jurisprudence. Au vu de ces circonstances, il convient de fixer l’abattement à 10% et, partant, de retenir un revenu d’invalide de 45'249 fr. 90 (50'277 fr. 70 x 90%), soit un taux d’invalidité de 27% (61'890 fr. - 45'249 fr. 90 : 61'890 fr. x 100), qui est insuffisant quoi qu’il en soit pour donner droit à une rente d'invalidité. Par conséquent, il convient de confirmer le refus de rente.</w:t>
      </w:r>
    </w:p>
    <w:p>
      <w:r>
        <w:rPr>
          <w:b/>
        </w:rPr>
        <w:t>E. 13</w:t>
      </w:r>
    </w:p>
    <w:p>
      <w:r>
        <w:t>Dans un dernier moyen, la recourante conteste le refus d’une orientation profes- sionnelle. Selon l'art. 8 al. 1 LAI, les assurés invalides ou menacés d'une invalidité (art. 8 LPGA) imminente ont droit aux mesures de réadaptation nécessaires qui sont de na- 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 fessionnel (orientation professionnelle, formation professionnelle initiale, reclasse- ment professionnel, service de placement; art. 8 al. 3 let. b LAI; cf. également art.</w:t>
      </w:r>
    </w:p>
    <w:p>
      <w:r>
        <w:rPr>
          <w:b/>
        </w:rPr>
        <w:t>E. 15</w:t>
      </w:r>
    </w:p>
    <w:p>
      <w:r>
        <w:t>Au vu de ce qui précède, le recours sera rejeté. Etant donné que depuis le 1er juillet 2006, la procédure n'est plus gratuite (art. 69 al. 1bis LAI), au vu du sort du recours, il y a lieu de condamner la recourante au paiement d'un émolument de 200 fr. En effet, sa demande d’exonération de ce dernier, au motif qu’elle perçoit l’aide so- ciale, ne peut pas être acceptée, puisque le règlement sur les frais, émolument et in- demnités en procédure administrative du 30 juillet 1986 (RFPA; E 5 10.03) ne pré- voit une telle dispense que pour les administrés au bénéfice de l’assistance judi- ciaire (art. 12 al. 1 RFPA), ce qui n’est pas son cas.</w:t>
      </w:r>
    </w:p>
    <w:p>
      <w:r>
        <w:t>A/4204/2009 - 18/18 -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