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ATAS/302/2008 vom 30. November 2006</w:t>
      </w:r>
    </w:p>
    <w:p>
      <w:r>
        <w:t>GE Cour de justice, 2006-11-30, FR</w:t>
      </w:r>
    </w:p>
    <w:p>
      <w:r>
        <w:rPr>
          <w:b/>
        </w:rPr>
        <w:t xml:space="preserve">Quelle: </w:t>
      </w:r>
      <w:r>
        <w:t>https://mcp.opencaselaw.ch/entscheid/ge_gerichte_ATAS_302_2008</w:t>
      </w:r>
    </w:p>
    <w:p>
      <w:r>
        <w:t>FR: GE_GERICHTE ATAS/302/2008 du 30 novembre 2006</w:t>
      </w:r>
    </w:p>
    <w:p>
      <w:r>
        <w:t>IT: GE_GERICHTE ATAS/302/2008 del 30 novembre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w:t>
      </w:r>
    </w:p>
    <w:p>
      <w:r>
        <w:t>A/395/2007 4/5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3 janvier 1997, d’autre part le 20 janvier 2007, date à laquelle le jugement de divorce est devenu exécutoire.</w:t>
      </w:r>
    </w:p>
    <w:p>
      <w:r>
        <w:rPr>
          <w:b/>
        </w:rPr>
        <w:t>E. 3</w:t>
      </w:r>
    </w:p>
    <w:p>
      <w:r>
        <w:t>Selon les documents produits, la prestation acquise par le demandeur est de 9'159 fr. 05 (7'348 fr. 10 + 244 fr. 35 + 1'566 fr. 60) dont il convient de déduire les avoirs acquis à la date du mariage, de 1'566 fr. 60, soit un montant total à partager de 7'592 fr. 45 (9'159 fr. 05 - 1'566 fr. 60), les intérêts ayant déjà été calculés par les institutions de prévoyance défenderesses. Ainsi le demandeur doit à son ex- épouse le montant de 3'796 fr. 20 (7'592 fr. 45 : 2).</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A/395/2007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