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ATAS/301/2024 vom 2. Mai 2024</w:t>
      </w:r>
    </w:p>
    <w:p>
      <w:r>
        <w:t>GE Cour de justice, 2024-05-02, FR</w:t>
      </w:r>
    </w:p>
    <w:p>
      <w:r>
        <w:rPr>
          <w:b/>
        </w:rPr>
        <w:t xml:space="preserve">Quelle: </w:t>
      </w:r>
      <w:r>
        <w:t>https://mcp.opencaselaw.ch/entscheid/ge_gerichte_ATAS_301_2024</w:t>
      </w:r>
    </w:p>
    <w:p>
      <w:r>
        <w:t>FR: GE_GERICHTE ATAS/301/2024 du 2 mai 2024</w:t>
      </w:r>
    </w:p>
    <w:p>
      <w:r>
        <w:t>IT: GE_GERICHTE ATAS/301/2024 del 2 maggio 2024</w:t>
      </w:r>
    </w:p>
    <w:p>
      <w:pPr>
        <w:pStyle w:val="Heading2"/>
      </w:pPr>
      <w:r>
        <w:t>Erwägungen</w:t>
      </w:r>
    </w:p>
    <w:p>
      <w:r>
        <w:rPr>
          <w:b/>
        </w:rPr>
        <w:t>E. 24</w:t>
      </w:r>
    </w:p>
    <w:p>
      <w:r>
        <w:t>août 2023, dans lequel ce dernier rappelait les difficultés de son patient à entrer en relation avec les autres, ses relations émotionnelles impulsives et souvent négatives, son échec professionnel, non pas par un manque de volonté mais par une importante difficulté à gérer ses émotions, ainsi que ses pensées obsessionnelles centrées sur la saleté et la peur des microbes. h. Par courrier du 5 octobre 2023, la chambre de céans a informé les parties qu’elle avait l’intention de confier une mission d’expertise psychiatrique au docteur E______, spécialiste FMH en psychiatrie et psychothérapie. i. Les parties n’ont fait valoir aucun motif de récusation dans le délai qui leur a été imparti. Après réception du projet de mandat d’expertise de la chambre de céans, envoyé en date du 6 novembre 2023, les parties n’ont fait valoir aucune remarque ou proposition de modification. j. L’expert E______ a rendu son rapport d’expertise psychiatrique en date du 26 mars 2024. Il a retenu les diagnostics suivants avec degré de gravité fonctionnel, par ordre décroissant : un trouble obsessionnel–compulsif de type mixte (avec obsessions et compulsions) F42.2 de gravité sévère ; une phobie sociale F40.1, de gravité sévère ; des troubles mixtes de la personnalité, avec traits impulsifs et dépendants F61.0, de gravité sévère ; une dépendance à l’alcool F10.24, de gravité moyenne, pour le moment, mais avec un pronostic réservé pour le futur et enfin une dysthymie F34.1 de gravité légère. Selon l’expert, les troubles entraînaient les limitations fonctionnelles suivantes : le trouble obsessionnel–compulsif absorbait beaucoup d’énergie mentale et physique et poussait à l’évitement des stimuli anxiogènes (objets sales ou porteurs potentiels de maladie, y compris les personnes), ce qui contribuait à aggraver l’isolement social massif qui était la limitation fonctionnelle principale de la phobie sociale. Le trouble de la personnalité diminuait la capacité de gérer les émotions et favorisait les réponses impulsives aux situations d’échec ou de frustration. Il inhibait aussi la prise d’initiative en l’absence de personne sur laquelle s’appuyer, ce qui était la situation actuelle depuis la séparation du couple. La consommation excessive d’alcool diminuait les capacités mentales et l’efficacité. Actuellement, l’effet sur les performances était encore limité mais si la prise importante d’alcool devait s’installer dans la durée, le risque de baisse de</w:t>
      </w:r>
    </w:p>
    <w:p>
      <w:r>
        <w:t>A/340/2023 - 6/16 - l’efficacité cognitive deviendrait élevé. Enfin, la dysthymie diminuait légèrement l’énergie disponible, l’estime de soi et l’envie d’entreprendre. L’expert a considéré que les limitations fonctionnelles étaient massives et lui paraissaient totalement incompatibles avec l’exercice d’une activité professionnelle, quelle qu’elle soit. En se fondant sur le résumé d’intervention du département de psychiatrie des HUG du 27 novembre 2020, l’incapacité de travail totale pouvait être datée de novembre 2020. S’agissant de perspectives thérapeutiques, l’expert a estimé qu’à l’heure actuelle, la seule voie thérapeutique possible était celle choisie par le médecin traitant, le psychiatre B______, à savoir un soutien bienveillant et non intrusif, en espérant qu’avec le temps, le niveau d’anxiété baisserait et permettrait à l’expertisé de récupérer une certaine capacité d’interaction sociale. Le Dr E______ s’est écarté de l’expertise du Dr D______ du 20 octobre 2022, considérant que ce dernier avait méconnu l’existence et les répercussions fonctionnelles sévères du trouble obsessionnel–compulsif et sous-estimé l’impact du trouble de la personnalité ainsi que de la gravité des atteintes cliniques constatées, dont la réalité était corroborée par de multiples pièces du dossier. k. Par courrier du 17 avril 2024, l’OAI, en se fondant sur l’avis médical de son SMR du 9 avril 2024, a considéré que l’expertise du Dr E______ était convaincante et plus détaillée (que celle du Dr D______), de sorte qu’une incapacité de travail totale devait être retenue depuis novembre 2020. l. Par courrier de son mandataire du 18 avril 2024, le recourant a récapitulé ses conclusions et considéré que l’expertise du Dr E______ emportait sa conviction. m. Sur ce, la cause a été gardée à juger, ce dont les parties ont été informées.</w:t>
      </w:r>
    </w:p>
    <w:p>
      <w:r>
        <w:t>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Dans la mesure où le recours a été interjeté postérieurement au 1er janvier 2021, il est soumis au nouveau droit (cf. art. 82a LPGA a contrario).</w:t>
      </w:r>
    </w:p>
    <w:p>
      <w:r>
        <w:t>A/340/2023 - 7/16 - 4.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se fonde sur un complexe de fait antérieur au 1er janvier 2022, de sorte que les dispositions légales applicables seront citées dans leur ancienne teneur. 5. Le délai de recours est de 30 jours (art. 56 LPGA ; art. 62 al. 1 de la loi sur la procédure administrative du 12 septembre 1985 [LPA - E 5 10]). Interjeté par le médecin traitant de l’assuré, en qualité de mandataire de ce dernier, dans la forme et le délai prévus par la loi, le recours est recevable. 6. Le litige porte sur le bien-fondé de la décision de refus de prestations invalidité de l’OAI, du 11 janvier 2023.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8.1 Les atteintes à la santé psychique peuvent, comme les atteintes physiques, entraîner une invalidité au sens de l'art. 4 al. 1 LAI en liaison avec l'art. 8 LPGA. On ne considère pas comme des conséquences d'un état psychique maladif, donc</w:t>
      </w:r>
    </w:p>
    <w:p>
      <w:r>
        <w:t>A/340/2023 - 8/16 -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8.2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t>A/340/2023 - 9/16 - 8.3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 10.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w:t>
      </w:r>
    </w:p>
    <w:p>
      <w:r>
        <w:t>A/340/2023 - 10/16 - structurée selon l'ATF 141 V 281 (arrêt du Tribunal fédéral 9C_599/2019 du 24 août 2020 consid. 5.1 et la référence). 11.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12. 12.1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12.2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w:t>
      </w:r>
    </w:p>
    <w:p>
      <w:r>
        <w:t>A/340/2023 - 11/16 - Sans remettre en cause le principe de la libre appréciation des preuves, le Tribunal fédéral des assurances a posé des lignes directrices en ce qui concerne la manière d'apprécier certains types d'expertises ou de rapports médicaux. 12.3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12.4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12.5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12.6 En ce qui concerne l'évaluation du caractère invalidant des affections psychosomatiques et psychiques, l'appréciation de la capacité de travail par un</w:t>
      </w:r>
    </w:p>
    <w:p>
      <w:r>
        <w:t>A/340/2023 - 12/16 -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13. 13.1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A/340/2023 - 13/16 - assurances sociales, un principe selon lequel l’administration ou le juge devrait statuer, dans le doute, en faveur de l’assuré (ATF 126 V 319 consid. 5a). 13.2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15. 15.1 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t>A/340/2023 - 14/16 - 15.2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16. En l’espèce, il est rappelé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Or, les appréciations médicales de l’expert E______ remplissent les conditions susmentionnées ; l’anamnèse est complète, les diagnostics sont clairement expliqués ainsi que les limitations fonctionnelles dont souffre l’expertisé et dont les contours sont clairement détaillés. L’expert a également expliqué les raisons pour lesquelles il s’écartait des conclusions de l’expert mandaté par l’OAI, étant rappelé que la chambre de céans a ordonné une expertise judiciaire en raison de ses doutes quant à la valeur probante de l’expertise administrative du Dr D______. L’intimé reconnaît que l’expertise du Dr E______ est plus complète et plus précise que celle du Dr D______ et se rallie à ses conclusions, de même que le recourant. La chambre de céans considère que le rapport d’expertise du 25 mars 2024 présente une pleine valeur probante et fait siennes les conclusions de l’expert E______ selon lesquelles le recourant à une capacité de travail nulle, dans toute activité, depuis le mois de novembre 2020. 16.1 Partant, le recours est admis, la décision annulée et la cause renvoyée à l’OAI, pour nouvelle décision au sens des considérants et calcul de la rente.</w:t>
      </w:r>
    </w:p>
    <w:p>
      <w:r>
        <w:t>A/340/2023 - 15/16 - S’agissant des frais d’expertise, il apparaît que le rapport d’expertise administrative du Dr D______, dont les conclusions ont été retenues par l’OAI pour rendre sa décision contestée, était incomplet et imprécis, ce qui a conduit la chambre de céans à ordonner une expertise judiciaire. Partant, les défauts de l'instruction administrative ont rendu nécessaire la mise en œuvre d’une expertise judiciaire (ATF 137 V 210 consid. 4.4.2). 16.2 À l’aune de ce qui précède, il y a lieu de constater que l’instruction était insuffisante, car fondée sur une expertise lacunaire ; dès lors, les conditions sont réunies pour que l’OAI soit condamné à prendre à sa charge tout ou partie des frais de l’expertise judiciaire. Selon la libre appréciation de la chambre de céans, l’OAI sera donc condamné à rembourser la moitié des frais d’expertise judiciaire, selon note d’honoraires du Dr E______ datée du 25 mars 2024, pour un total de CHF 4'500.-, ce qui représente une quote-part de CHF 2’250.- à la charge de l’intimé. 17. Le recourant, assisté par un mandataire professionnellement qualifié et obtenant gain de cause, a droit à une indemnité à titre de participation à ses frais et dépens, que la chambre de céans fixera à CHF 4'000.- (art. 61 let. g LPGA ; art. 89H al. 3 LPA ; art. 6 du règlement sur les frais, émoluments et indemnités en procédure administrative du 30 juillet 1986 [RFPA - RS E 5 10.03]). 18. Étant donné que, depuis le 1er juillet 2006, la procédure n'est plus gratuite (art. 69 al. 1bis LAI), au vu du sort du recours, il y a lieu de condamner l'intimé au paiement d'un émolument de CHF 200.-.</w:t>
      </w:r>
    </w:p>
    <w:p>
      <w:r>
        <w:t>A/340/2023 - 16/16 -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