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ATAS/301/2023 vom 3. Mai 2023</w:t>
      </w:r>
    </w:p>
    <w:p>
      <w:r>
        <w:t>GE Cour de justice, 2023-05-03, FR</w:t>
      </w:r>
    </w:p>
    <w:p>
      <w:r>
        <w:rPr>
          <w:b/>
        </w:rPr>
        <w:t xml:space="preserve">Quelle: </w:t>
      </w:r>
      <w:r>
        <w:t>https://mcp.opencaselaw.ch/entscheid/ge_gerichte_ATAS_301_2023</w:t>
      </w:r>
    </w:p>
    <w:p>
      <w:r>
        <w:t>FR: GE_GERICHTE ATAS/301/2023 du 3 mai 2023</w:t>
      </w:r>
    </w:p>
    <w:p>
      <w:r>
        <w:t>IT: GE_GERICHTE ATAS/301/2023 del 3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60 al. 1 LPGA).</w:t>
      </w:r>
    </w:p>
    <w:p>
      <w:r>
        <w:rPr>
          <w:b/>
        </w:rPr>
        <w:t>E. 3</w:t>
      </w:r>
    </w:p>
    <w:p>
      <w:r>
        <w:t>Est litigieuse la question de savoir si l'état de santé de la recourante s’est aggravé depuis l’octroi d’une demi-rente par décision du 21 avril 2021.</w:t>
      </w:r>
    </w:p>
    <w:p>
      <w:r>
        <w:rPr>
          <w:b/>
        </w:rPr>
        <w:t>E. 4</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une demande de révision d’une demi-rente octroyée en avril 2021, en raison d’une aggravation survenue avant le 1er janvier 2022, de sorte que les dispositions légales applicables seront citées dans leur ancienne teneur.</w:t>
      </w:r>
    </w:p>
    <w:p>
      <w:r>
        <w:rPr>
          <w:b/>
        </w:rPr>
        <w:t>E. 5.1</w:t>
      </w:r>
    </w:p>
    <w:p>
      <w:r>
        <w:t>Selon l’art. 17 al. 2 LPGA, toute prestation durable accordée en vertu d’une décision entrée en force est, d’office ou sur demande, augmentée ou réduite en conséquence, ou encore supprimée si les circonstances dont dépendait son octroi changent notablement.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5.2</w:t>
      </w:r>
    </w:p>
    <w:p>
      <w:r>
        <w:t>Selon l'art. 87 du règlement sur l'assurance-invalidité du 17 janvier 1961 (RAI - RS 831.201), dans sa teneur en vigueur dès le 1er janvier 2012, lorsqu'une</w:t>
      </w:r>
    </w:p>
    <w:p>
      <w:r>
        <w:t>A/3738/2022 - 7/10 -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rPr>
          <w:b/>
        </w:rPr>
        <w:t>E. 5.3</w:t>
      </w:r>
    </w:p>
    <w:p>
      <w:r>
        <w:t>La jurisprudence développée sous l'empire de l'art. 87 al. 3 et 4 RAI, en vigueur jusqu'au 31 décembre 2011, reste applicable à l'art. 87 al. 2 et 3 RAI modifié dès lors que la demande de révision doit répondre aux mêmes critères (ATAS/81/2023 du 6 février 2023 consid. 4.1).</w:t>
      </w:r>
    </w:p>
    <w:p>
      <w:r>
        <w:rPr>
          <w:b/>
        </w:rPr>
        <w:t>E. 5.4</w:t>
      </w:r>
    </w:p>
    <w:p>
      <w:r>
        <w:t>L’exigence de l’art. 87 al. 3 RAI (ATF 109 V 262 consid. 3)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w:t>
      </w:r>
    </w:p>
    <w:p>
      <w:r>
        <w:rPr>
          <w:b/>
        </w:rPr>
        <w:t>E. 5.5</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w:t>
      </w:r>
    </w:p>
    <w:p>
      <w:r>
        <w:t>A/3738/2022 - 8/10 - références ; arrêt du Tribunal fédéral 8C_596/2019 du 15 janvier 2020 consid. 3.2).</w:t>
      </w:r>
    </w:p>
    <w:p>
      <w:r>
        <w:rPr>
          <w:b/>
        </w:rPr>
        <w:t>E. 5.6</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L'examen du juge est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6</w:t>
      </w:r>
    </w:p>
    <w:p>
      <w:r>
        <w:t>En l’occurrence, la recourante a fait l’objet d’une expertise bidisciplinaire en juillet 2020. Selon le volet rhumatologique de cette expertise, elle souffre d’un syndrome lombo-vertébral avec dysbalance musculaire non déficitaire avec incidence sur la capacité de travail. Les diagnostics de status après chirurgie de l’hallux valgus gauche, hallux valgus léger à droite, antécédents de migraine, de HIV stabilisé sous trithérapie et pieds plats n’ont pas de répercussion sur la capacité de travail. Il est relevé que la recourante se plaint de douleurs lombaires basses avec une douleur irradiant au membre inférieur droit jusqu’au genou, ce qui la gêne pour la descente des escaliers. Elle rapporte également une douleur du membre supérieur droit. Dans son ménage, elle fait un peu de rangement et de linge. Elle prépare ses repas et marche parfois un peu. Elle a par ailleurs une aide- ménagère une fois tous les quinze jours pour passer l’aspirateur, la serpillère, la poussière et le repassage. Elle ne prend pas de traitement spécifique hormis l’Irfen et ne fait pas de physiothérapie. Selon l’expert rhumatologue, elle est capable d’effectuer un travail permettant l’alternance des positions assise/debout, le port de charges jusqu’à dix kilos, sans position agenouillée prolongée, montée et descente d’échafaudages ou d’échelles et sans activité forçant sur le rachis lombaire. Dans une activité adaptée, sa capacité de travail est de 100%. L’expert psychiatre retient un épisode dépressif moyen, sans syndrome somatique avec incidence sur la capacité de travail. Celle-ci est diminuée de 50%, taux qui a été retenu également dans l’appréciation consensuelle des experts. Dans son rapport du 8 novembre 2021, le Dr C______ fait état, sur la base d’une IRM lombaire du 5 novembre 2021, d’une ostéochondrose intervertébrale débutante avec composante active/inflammatoire, tout en constatant une régression d’un rétrécissement recessal droit et une régression du contact avec l’émergence de la racine L4 droite. Quant au SMR, dans son avis du 22 février 2022, il estime qu’il ne s’agit pas d’éléments d’aggravation durable et que ces éléments avaient déjà été pris en</w:t>
      </w:r>
    </w:p>
    <w:p>
      <w:r>
        <w:t>A/3738/2022 - 9/10 - compte dans l’évaluation précédente dans le cadre du syndrome vertébral chronique. Il y a lieu à cet égard de relever que dans l’IRM du 25 août 2017, une hernie discale latéralisée à droite s’étendant en foraminal avec contrainte L4 et une hernie discale postéro-médiane L4-L5 à large base et épaulement des racines L5 des deux côtés avaient déjà été mises en évidence. Par rapport à ces atteintes qui ne sont plus présentes dans l’IRM de novembre 2021, l’appréciation du SMR du 22 février 2022 paraît convaincante. Il est à noter à cet égard également que même si une incapacité de travail de 50% devait être retenue pour des raisons somatiques, l'incapacité de travail globale, compte tenu des atteintes au niveau psychiatrique, ne serait pas augmentée au degré de la vraisemblance prépondérante. Quant au Dr C______, il avait déjà attesté une incapacité de travail totale dans la précédente procédure. Dans son dernier avis médical, le SMR relève que la présence de cervicobrachialgies et de gonalgies pourrait entraîner de nouvelles limitations fonctionnelles dès janvier 2023. Toutefois, les cervicobrachialgies étaient déjà présentes au moment de la décision d’octroi d’une demi-rente (cf. rapport du</w:t>
      </w:r>
    </w:p>
    <w:p>
      <w:r>
        <w:rPr>
          <w:b/>
        </w:rPr>
        <w:t>E. 9</w:t>
      </w:r>
    </w:p>
    <w:p>
      <w:r>
        <w:t>septembre 2019 du Dr C______). S’agissant des gonalgies, l’expertise ne met certes pas en évidence des atteintes à ce niveau. Toutefois, la recourante ne pouvant exercer qu’une activité légère, avec port de charges limité et alternance des positions, il n’apparaît pas, au degré de la vraisemblance prépondérante, qu’une limitation fonctionnelle à ce niveau provoquerait une diminution supplémentaire de la capacité de travail. Au demeurant, dans son rapport du 18 novembre 2020, le SMR avait déjà retenu dans les limitations l’absence de position agenouillée prolongée, ainsi que la montée et la descente d’échafaudages ou d’échelles. Enfin, sur le plan psychiatrique, un épisode dépressif était également présent lors de la dernière évaluation par les experts. Ceux-ci avaient relevé par ailleurs que la mise en place d’un antidépresseur à dose efficace pendant une durée suffisante était nécessaire. En outre, il semble que le trouble dépressif est essentiellement en lien avec la situation psycho-sociale de la recourante, selon le rapport du 6 janvier 2023 du Dr G______, à savoir en rapport avec des éléments qui ne peuvent être pris en considération comme facteurs invalidants. Cela étant, le refus d'augmentation de la rente doit être confirmé. 7. Au vu de ce qui précède, le recours sera rejeté. 8. Bien que la procédure ne soit pas gratuite en matière d'assurance-invalidité (art. 69 al. 1bis LAI), il convient de renoncer à la perception d'un émolument, la recourante étant au bénéfice de l'assistance juridique (art. 69 al. 1bis LAI et</w:t>
      </w:r>
    </w:p>
    <w:p>
      <w:r>
        <w:rPr>
          <w:b/>
        </w:rPr>
        <w:t>E. 13</w:t>
      </w:r>
    </w:p>
    <w:p>
      <w:r>
        <w:t>al. 1 du règlement sur les frais, émoluments et indemnités en procédure administrative du 30 juillet 1986 [RFPA - E 5 10.03]).</w:t>
      </w:r>
    </w:p>
    <w:p>
      <w:r>
        <w:t>A/3738/2022 - 10/10 -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