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ATAS/301/2022 vom 26. Januar 2022</w:t>
      </w:r>
    </w:p>
    <w:p>
      <w:r>
        <w:t>GE Cour de justice, 2022-01-26, FR</w:t>
      </w:r>
    </w:p>
    <w:p>
      <w:r>
        <w:rPr>
          <w:b/>
        </w:rPr>
        <w:t xml:space="preserve">Quelle: </w:t>
      </w:r>
      <w:r>
        <w:t>https://mcp.opencaselaw.ch/entscheid/ge_gerichte_ATAS_301_2022</w:t>
      </w:r>
    </w:p>
    <w:p>
      <w:r>
        <w:t>FR: GE_GERICHTE ATAS/301/2022 du 26 janvier 2022</w:t>
      </w:r>
    </w:p>
    <w:p>
      <w:r>
        <w:t>IT: GE_GERICHTE ATAS/301/2022 del 26 gennaio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Interjeté postérieurement au 1er janvier 2021, le recours est par conséquent soumis au nouveau droit (cf. art. 82a LPGA a contrario).</w:t>
      </w:r>
    </w:p>
    <w:p>
      <w:r>
        <w:rPr>
          <w:b/>
        </w:rPr>
        <w:t>E. 4</w:t>
      </w:r>
    </w:p>
    <w:p>
      <w:r>
        <w:t>Interjeté dans la forme et le délai prévus par la loi, le recours est prima facie recevable (art. 56 et 60 de la LPGA; art. 89B de la loi sur la procédure administrative du 12 septembre 1985 [(LPA-GE - E 5 10)].</w:t>
      </w:r>
    </w:p>
    <w:p>
      <w:r>
        <w:rPr>
          <w:b/>
        </w:rPr>
        <w:t>E. 5.1</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LPC dans leur teneur en vigueur jusqu’au 31 décembre 2020), et selon la jurisprudence,</w:t>
      </w:r>
    </w:p>
    <w:p>
      <w:r>
        <w:t>A/856/2022 - 4/7 -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w:t>
      </w:r>
    </w:p>
    <w:p>
      <w:r>
        <w:rPr>
          <w:b/>
        </w:rPr>
        <w:t>E. 5.2</w:t>
      </w:r>
    </w:p>
    <w:p>
      <w:r>
        <w:t>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5.3</w:t>
      </w:r>
    </w:p>
    <w:p>
      <w:r>
        <w:t>En droit cantonal, selon l’art. 18 du règlement relatif aux prestations cantonales complémentaires à l’assurance-vieillesse et survivants et à l’assurance-invalidité du 25 juin 1999 (RPCC-AVS/AI - J 4 25.03), l’opposition a un effet suspensif, sauf dans les cas prévus par l’art. 11 de l’ordonnance sur la partie générale du droit des assurances sociales du 11 septembre 2002 (OPGA - RS 830.11) appliqué par analogie (al. 1). Le service peut, sur requête ou d’office, retirer l’effet suspensif ou rétablir l’effet suspensif retiré dans la décision. Une telle requête doit être traitée sans délai (al. 2). L’art. 66 LPA-GE prescrit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w:t>
      </w:r>
    </w:p>
    <w:p>
      <w:r>
        <w:t>A/856/2022 - 5/7 - la partie dont les intérêts sont gravement menacés, retirer ou restituer l’effet suspensif (al. 2).</w:t>
      </w:r>
    </w:p>
    <w:p>
      <w:r>
        <w:rPr>
          <w:b/>
        </w:rPr>
        <w:t>E. 5.4</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 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w:t>
      </w:r>
    </w:p>
    <w:p>
      <w:r>
        <w:rPr>
          <w:b/>
        </w:rPr>
        <w:t>E. 6</w:t>
      </w:r>
    </w:p>
    <w:p>
      <w:r>
        <w:t>En l’espèce, la recourante requiert la restitution de l’effet suspensif au recours, afin de continuer à percevoir des prestations complémentaires sans que le SPC ne tienne compte de la valeur de sa part successorale.</w:t>
      </w:r>
    </w:p>
    <w:p>
      <w:r>
        <w:rPr>
          <w:b/>
        </w:rPr>
        <w:t>E. 7</w:t>
      </w:r>
    </w:p>
    <w:p>
      <w:r>
        <w:t>À première vue, les chances de succès du recours ne paraissent pas évidentes, au vu de la jurisprudence en matière de prise en compte de la succession indivise dans le calcul des ressources de celui qui prétend à des prestations complémentaires. En effet, de manière constante, le Tribunal fédéral retient que lors du calcul de la</w:t>
      </w:r>
    </w:p>
    <w:p>
      <w:r>
        <w:t>A/856/2022 - 6/7 - prestation complémentaire, la part d’héritage d’un bénéficiaire de prestations complémentaires doit être prise en compte dès l'ouverture de la succession qu’il acquiert de plein droit (art. 560 al. 1 CC), soit au décès du de cujus (cf. art. 537 al. 1 CC) et non seulement à partir du moment où le partage est réalisé (arrêt du Tribunal fédéral P 22/06 du 23 janvier 2007 citant : RCC 1992 p. 347 consid. 2c; consid. 4 in fine de l’arrêt T. du 23 mars 2006, P 61/04; consid. 3.3 de l'arrêt V. du 17 septembre 2003, P 54/02; Carigiet, Ergänzungsleistungen zur AHV/IV, p. 116). L’intérêt de l’intimé à cesser le versement de toute prestation à la recourante paraît prépondérant, puisqu’il n’est pas possible de considérer que, selon toute vraisemblance, la recourante obtiendra gain de cause sur le fond du litige. En outre, si les prestations continuaient à être versées pendant la durée de la procédure, les intérêts financiers de l’intimé seraient mis en péril, puisqu’en cas de rejet du recours, la recourante serait tenue de restituer un montant de CHF 61'701.00 et en sus les prestations versées en raison de la restitution de l’effet suspensif. Le remboursement des prestations ne serait pas garanti par ailleurs tant que la succession ne sera pas divisée et la maison vendue au profit de la recourante notamment. Il s'ensuit que les motifs qui parlent en faveur de l'exécution immédiate de la décision de suppression du droit aux prestations l'emportent, en l'espèce, sur l'intérêt de la recourante à percevoir les prestations pendant toute la durée de la procédure. En revanche, la décision en tant qu’elle vise la restitution des prestations perçues indûment avait déjà un effet suspensif à teneur même de son texte. La chambre n’a dès lors pas à statuer sur ce point.</w:t>
      </w:r>
    </w:p>
    <w:p>
      <w:r>
        <w:rPr>
          <w:b/>
        </w:rPr>
        <w:t>E. 8</w:t>
      </w:r>
    </w:p>
    <w:p>
      <w:r>
        <w:t>Au vu de ce qui précède, la requête en restitution de l’effet suspensif au recours ne peut qu’être rejetée. La suite de la procédure reste réservée. Il sera statué sur les frais en même temps que sur le recours.</w:t>
      </w:r>
    </w:p>
    <w:p>
      <w:r>
        <w:t>A/856/2022 - 7/7 - PAR CES MOTIFS, LA CHAMBRE DES ASSURANCES SOCIALES : Statuant sur la demande de restitution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