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ATAS/301/2021 vom 30. März 2021</w:t>
      </w:r>
    </w:p>
    <w:p>
      <w:r>
        <w:t>GE Cour de justice, 2021-03-30, FR</w:t>
      </w:r>
    </w:p>
    <w:p>
      <w:r>
        <w:rPr>
          <w:b/>
        </w:rPr>
        <w:t xml:space="preserve">Quelle: </w:t>
      </w:r>
      <w:r>
        <w:t>https://mcp.opencaselaw.ch/entscheid/ge_gerichte_ATAS_301_2021</w:t>
      </w:r>
    </w:p>
    <w:p>
      <w:r>
        <w:t>FR: GE_GERICHTE ATAS/301/2021 du 30 mars 2021</w:t>
      </w:r>
    </w:p>
    <w:p>
      <w:r>
        <w:t>IT: GE_GERICHTE ATAS/301/2021 del 30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pendant devant la chambre de céans le 1er janvier 2021, il reste soumis à l'ancien droit (cf. art. 83 LPGA).</w:t>
      </w:r>
    </w:p>
    <w:p>
      <w:r>
        <w:t>A/484/2020 - 6/16 -</w:t>
      </w:r>
    </w:p>
    <w:p>
      <w:r>
        <w:rPr>
          <w:b/>
        </w:rPr>
        <w:t>E. 4</w:t>
      </w:r>
    </w:p>
    <w:p>
      <w:r>
        <w:t>Interjeté dans les forme et délai prévus par la loi, le recours est recevable (art. 56 LPGA ; art. 62 al. 1 de la loi sur la procédure administrative du 12 septembre 1985 [LPA - E 5 10]).</w:t>
      </w:r>
    </w:p>
    <w:p>
      <w:r>
        <w:rPr>
          <w:b/>
        </w:rPr>
        <w:t>E. 5</w:t>
      </w:r>
    </w:p>
    <w:p>
      <w:r>
        <w:t>Le litige porte sur le droit de la recourante à une rente d’invalidité et à des mesures d’ordre professionnel. Sont en particulier litigieux l’évaluation de la capacité de la recourante à exercer une activité adaptée et le calcul du degré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9</w:t>
      </w:r>
    </w:p>
    <w:p>
      <w:r>
        <w:t>Pour déterminer le statut de l’assuré et la méthode d’évaluation de l’invalidité qui en découle, il faut se demander ce que l’assuré aurait fait si l’atteinte à la santé n’était pas survenue (ATF 137 V 334 consid. 3.2 p. 338 et les références).</w:t>
      </w:r>
    </w:p>
    <w:p>
      <w:r>
        <w:rPr>
          <w:b/>
        </w:rPr>
        <w:t>E. 10</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w:t>
      </w:r>
    </w:p>
    <w:p>
      <w:r>
        <w:t>A/484/2020 - 7/16 -</w:t>
      </w:r>
    </w:p>
    <w:p>
      <w:r>
        <w:rPr>
          <w:b/>
        </w:rPr>
        <w:t>E. 12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13</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14</w:t>
      </w:r>
    </w:p>
    <w:p>
      <w:r>
        <w:t>Dans un récent arrêt (9C_500/2020 du 1er mars 2021 consid. 4.1), le Tribunal fédéral a rappelé que lorsque la perte de l’emploi est due à des motifs étrangers à l’invalidité, le salaire doit être établi sur la base de valeurs moyennes (arrêts 9C_247/2015 du 23 juin 2015 consid. 5.1 ; 9C_212/2015 du 9 juin 2015 consid. 5.4 et les arrêts cités ; cf. aussi arrêts 8C_728/2016 du 21 décembre 2016 consid. 3.1 et 9C_501/2013 du 28 novembre 2013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9C_394/2013 du 27 septembre 2013 consid. 3.3 et les références).</w:t>
      </w:r>
    </w:p>
    <w:p>
      <w:r>
        <w:t>A/484/2020 - 8/16 -</w:t>
      </w:r>
    </w:p>
    <w:p>
      <w:r>
        <w:rPr>
          <w:b/>
        </w:rPr>
        <w:t>E. 15</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(branches d’activités), n’impliquant pas de formation particulière, et compatibles avec des limitations fonctionnelles peu contraignantes (cf. arrêts du Tribunal fédéral 9C_603/2015 du 25 avril 2016 consid. 8.1 et 9C_242/2012 du 13 août 2012 consid. 3).</w:t>
      </w:r>
    </w:p>
    <w:p>
      <w:r>
        <w:rPr>
          <w:b/>
        </w:rPr>
        <w:t>E. 16</w:t>
      </w:r>
    </w:p>
    <w:p>
      <w:r>
        <w:t>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17</w:t>
      </w:r>
    </w:p>
    <w:p>
      <w:r>
        <w:t>S’agissant des limitations fonctionnelles, il est notoire que les personnes atteintes dans leur santé, qui présentent des limitations même pour accomplir des activités</w:t>
      </w:r>
    </w:p>
    <w:p>
      <w:r>
        <w:t>A/484/2020 - 9/16 -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w:t>
      </w:r>
    </w:p>
    <w:p>
      <w:r>
        <w:rPr>
          <w:b/>
        </w:rPr>
        <w:t>E. 18</w:t>
      </w:r>
    </w:p>
    <w:p>
      <w:r>
        <w:t>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 voir aussi arrêts du Tribunal fédéral 8C_403/2017 du 25 août 2017 consid. 4.4.1 et 8C_805/2016 du 22 mars 2017 consid. 3.4.3). À l’inverse, dans un autre arrêt rendu en matière d’assurance-invalidité (arrêt du Tribunal fédéral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termes de facilité d’intégration sur le marché du travail (arrêt du Tribunal fédéral 9C_375/2019 du 25 septembre 2019 consid. 7.3).</w:t>
      </w:r>
    </w:p>
    <w:p>
      <w:r>
        <w:rPr>
          <w:b/>
        </w:rPr>
        <w:t>E. 19</w:t>
      </w:r>
    </w:p>
    <w:p>
      <w:r>
        <w:t>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w:t>
      </w:r>
    </w:p>
    <w:p>
      <w:r>
        <w:t>A/484/2020 - 10/16 - Tribunal fédéral 9C_200/2017du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w:t>
      </w:r>
    </w:p>
    <w:p>
      <w:r>
        <w:rPr>
          <w:b/>
        </w:rPr>
        <w:t>E. 20</w:t>
      </w:r>
    </w:p>
    <w:p>
      <w:r>
        <w:t>Dans un arrêt 9C_677/2015 du 25 janvier 2016, le Tribunal fédéral a jugé qu’un abattement de 15 %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w:t>
      </w:r>
    </w:p>
    <w:p>
      <w:r>
        <w:rPr>
          <w:b/>
        </w:rPr>
        <w:t>E. 21</w:t>
      </w:r>
    </w:p>
    <w:p>
      <w:r>
        <w:t>Une déduction maximale ne se justifie que lorsque plusieurs des éléments retenus par la jurisprudence se trouvent réunis chez un assuré (arrêt du Tribunal fédéral des assurances U 311/02 du 4 février 2003 consid. 4.3).</w:t>
      </w:r>
    </w:p>
    <w:p>
      <w:r>
        <w:rPr>
          <w:b/>
        </w:rPr>
        <w:t>E. 22</w:t>
      </w:r>
    </w:p>
    <w:p>
      <w:r>
        <w:t>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 au salaire statistique usuel dans la branche (ATF 135 V 297 consid. 6.1.2 ;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op. cit., consid. 3.4).</w:t>
      </w:r>
    </w:p>
    <w:p>
      <w:r>
        <w:rPr>
          <w:b/>
        </w:rPr>
        <w:t>E. 23</w:t>
      </w:r>
    </w:p>
    <w:p>
      <w:r>
        <w:t>En cas d’absence de désignation des activités compatibles avec les limitations du recourant, le Tribunal fédéral a jugé qu'il eût été certainement judicieux que l’office de l’assurance-invalidité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rPr>
          <w:b/>
        </w:rPr>
        <w:t>E. 24</w:t>
      </w:r>
    </w:p>
    <w:p>
      <w:r>
        <w:t>Pour pouvoir calculer le degré d’invalidité, l’administration (ou le juge, s’il y a eu un recours) a besoin de documents qu’un médecin, éventuellement d’autres</w:t>
      </w:r>
    </w:p>
    <w:p>
      <w:r>
        <w:t>A/484/2020 - 11/16 -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25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26</w:t>
      </w:r>
    </w:p>
    <w:p>
      <w:r>
        <w:t>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27</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w:t>
      </w:r>
    </w:p>
    <w:p>
      <w:r>
        <w:t>A/484/2020 - 12/16 -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28</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29</w:t>
      </w:r>
    </w:p>
    <w:p>
      <w:r>
        <w:t>En l’occurrence, l’intimé a retenu un statut d’actif lorsqu’il a instruit et statué sur la demande de prestations de la recourante. Celle-ci avait en effet repris une activité à plein temps durant l’année 2015 puis s’était inscrite au chômage en vue de retrouver un emploi à plein temps. Lors de la survenance de l’invalidité, elle était ainsi en recherche d’emploi et n’avait pas le statut de ménagère. En l’absence d’atteinte à la santé, la recourante aurait dès lors travaillé à 100 %. C’est dès lors à juste titre que l’intimé a retenu le statut d’actif. La recourante ne peut être suivie lorsqu’elle prétend à un statut de ménagère dans un dernier courrier adressé à la chambre de céans, alors que son statut d’actif à plein temps a été retenu par l’intimé dès le début de l’instruction sur la base de ses propres déclarations et qu’elle a fait valoir son droit à une rente de l’assurance-invalidité sur la base de ce statut et des revenus qui en auraient résulté sans invalidité devant l’OAI puis devant la chambre de céans.</w:t>
      </w:r>
    </w:p>
    <w:p>
      <w:r>
        <w:rPr>
          <w:b/>
        </w:rPr>
        <w:t>E. 30</w:t>
      </w:r>
    </w:p>
    <w:p>
      <w:r>
        <w:t>La recourante conteste pouvoir exercer une activité adaptée et prétend à une demi-rente d’invalidité. La décision attaquée est principalement fondée, s’agissant de la capacité de travail et des limitations fonctionnelles, sur une expertise pluridisciplinaire réalisée à la suite de l’opposition de la recourante au projet de refus de l’intimé. Ce travail d’expertise traite de tous les points litigieux importants et a fait l’objet d’études fouillées et de conclusions consensuelles de quatre experts. Le rapport se fonde sur l’examen complet des éléments médicaux au dossier - dont la majorité ont été établis par des médecins ayant traité la recourante pour diverses affections - et sur les constats personnels des experts. Ces derniers ont pris en considération les plaintes exprimées par la recourante, lesquelles n’étaient pas toutes objectivées. Ce rapport pluridisciplinaire a été établi en pleine connaissance du dossier, par des spécialistes propres à se déterminer sur les différentes plaintes et pathologies de la recourante. Il comporte des résumés des avis médicaux recueillis durant l’instruction et des anamnèses complètes ainsi que des conclusions claires et bien motivées. Si cette expertise a été contestée par le médecin traitant de la recourante qui estime qu’il n’existe pas d’activité adaptée aux limitations de sa patiente, l’on ne constate pas de divergences importantes de diagnostic ou dans les limitations retenues, à l’exception des signes de myélopathie qui n’ont pas été observés par</w:t>
      </w:r>
    </w:p>
    <w:p>
      <w:r>
        <w:t>A/484/2020 - 13/16 - l’expert neurologue. Compte tenu du fait que le médecin traitant n’est pas neurologue, le diagnostic du spécialiste paraît plus convaincant pour ce qui est des signes cliniques de myélopathie. Le médecin traitant ne relève pas des éléments qui auraient été ignorés par les experts et ne met pas en évidence d’éléments cliniques ou diagnostiques concrets et objectifs susceptibles de mettre en cause les conclusions des experts. Ce praticien se contente de nier toute existence d’activité adaptée à sa patiente. Son appréciation, qui va dans l’intérêt de sa patiente, ne trouve pas de confirmation dans d’autres avis médicaux au dossier. Le médecin traitant ne soulève en fin de compte pas de motifs susceptibles d’établir le caractère arbitraire de l’appréciation des quatre experts. Au contraire, les opinions motivées et consensuelles de ces experts sont convaincantes. En conséquence, l’expertise doit se voir reconnaître une pleine valeur probante.</w:t>
      </w:r>
    </w:p>
    <w:p>
      <w:r>
        <w:rPr>
          <w:b/>
        </w:rPr>
        <w:t>E. 31</w:t>
      </w:r>
    </w:p>
    <w:p>
      <w:r>
        <w:t>L’expertise pluridisciplinaire retenant que l’assurée était à même d’exercer à plein temps une activité adaptée à ses limitations fonctionnelles et disposait ainsi d’une pleine capacité de travail, l’intimé a retenu dans la décision attaquée qu’il était exigible de la recourante qu’elle exerce une activité simple et répétitive adaptée à ses limitations fonctionnelles à plein temps et s’est référé à l’ESS 2016, relatif aux activités de niveau 1, pour une femme soit le tableau TA1_tirage_skill_level. Dans la mesure où l’activité adaptée visée correspond à une activité simple et répétitive, adaptée aux limitations constatées par les experts et qui ne nécessite pas de formation, la référence au tableau TA1 est pertinente. Pour tenir compte des limitations de la recourante, l’intimé a en outre procédé à un abattement de 10 % sur le revenu d’invalide. Vu que la recourante a une pleine capacité de travail dans une activité adaptée à ses limitations, soit une activité simple et ne nécessitant pas de formation particulière, l’abattement retenu apparaît tenir compte, adéquatement, des limitations fonctionnelles de la recourante. Il n’y a pas lieu d’envisager un abattement plus important dans la mesure où l’âge de la recourante (50 ans lors de la survenance de l’invalidité) ou son absence de formation ne font pas obstacle à la reprise d’une activité adaptée telle que visée par la décision attaquée. Il ne se justifie pas de modifier le taux d’abattement. Compte tenu du salaire avec invalidité retenu et de l’abattement de 10 %, l’intimé est parvenu à la conclusion que le taux d’invalidité était nul après comparaison de ce dernier revenu avec le revenu sans invalidité.</w:t>
      </w:r>
    </w:p>
    <w:p>
      <w:r>
        <w:rPr>
          <w:b/>
        </w:rPr>
        <w:t>E. 32</w:t>
      </w:r>
    </w:p>
    <w:p>
      <w:r>
        <w:t>La recourante conteste cependant le revenu sans invalidité retenu par l’intimé, en alléguant que ce montant ne tient pas compte du fait que son revenu était très nettement inférieur au revenu moyen selon les statistiques sur la structure des salaires. Il convient dès lors de déterminer le taux d’invalidité et d’établir le revenu sans invalidité pertinent.</w:t>
      </w:r>
    </w:p>
    <w:p>
      <w:r>
        <w:t>A/484/2020 - 14/16 - L’on rappellera que le revenu avec invalidité fixé par l’intimé à CHF 49'540.- n’est pas contesté. Il ne prête pas flanc à la critique puisqu’il est fondé sur la statistique ESS 2016, TA1, tous secteurs confondus [total], niveau 1, femme, après réduction de 10 % et tient adéquatement compte des limitations fonctionnelles de la recourante, le revenu sans invalidité est contesté. Les statistiques ESS 2016, tableau TA1_tirage_skill_level, pour une activité de niveau 1, pour une femme et un emploi d’une durée hebdomadaire de 41h07, chiffre le salaire annuel à CHF 54'581.-. Ce montant était pertinent lors de la survenance de l’invalidité de la recourante, ce que cette dernière ne conteste pas. Quant au salaire sans invalidité, les informations économiques figurant au dossier, en particulier le contrat de travail et les déclarations de la recourante qui indiquait un salaire mensuel brut de CHF 3'520.- en 2015 ainsi que l’addition des revenus nets figurant dans les comptes individuels, permettent d’établir le revenu concrètement perçu en 2015, soit un montant brut de CHF 42'240.-. Il ne se justifie pas de retenir le montant de CHF 46'544.- retenu par l’intimé dans la décision attaquée, ce montant prenant en compte de manière inexacte un treizième salaire qui n’est établi par aucune pièce du dossier. Il ne se justifie pas davantage de tenir compte du salaire net allégué par la recourante en se référant à la même année 2015 (CHF 38'287.-) ni d’ailleurs du montant des indemnités de chômage perçues entre 2016 et 2017 et de les annualiser comme l’a fait la recourante, puisqu’il ne s’agissait pas de son dernier salaire pertinent mais respectivement d’un salaire net et non du brut puis d’un salaire de remplacement versé par la caisse de chômage, par définition inférieur au salaire précédemment reçu. Le revenu pertinent de CHF 42'240.-, tel qu’établi ci-dessus, est inférieur de 22.62 % au salaire statistique précité de CHF 54'581.-. Il en résulte qu’à l’issue de la parallélisation des revenus à comparer, jusqu’à concurrence de la part qui excède le taux minimal déterminant de 5 %, soit 17,62 % (22.62 – 5), le revenu sans invalidité déterminant est de CHF 49'682.65 (soit 42'240 + [17.62 % x 42'240]). Le revenu avec invalidité et après abattement étant de CHF 49'540.-, la perte de salaire sur l’année est de CHF 142.65. Il résulte de ce qui précède que le taux d’invalidité de la recourante est nul. Il en irait de même si la chambre de céans, pour déterminer le taux d’invalidité, se fondait sur les statistiques salariales - et non sur le salaire perçu en 2015 par la recourante - dans la mesure où, lors de la survenance de l’invalidité (février 2017), la recourante n’était plus employée mais au chômage et ce depuis le 1er janvier 2016. Dans ce cas, la comparaison entre le revenu sans invalidité fondé sur les statistiques de la structure des salaires pertinentes (CHF 54'581.-) et le revenu avec invalidité -</w:t>
      </w:r>
    </w:p>
    <w:p>
      <w:r>
        <w:t>A/484/2020 - 15/16 - après l’abattement de 10 % (CHF 49'540.-) - conduirait la chambre de céans à constater que le taux d’invalidité est de 10 %, soit un taux insuffisant pour ouvrir le droit à des prestations d’invalidité (rente ou mesure). La décision attaquée est dès lors fondée.</w:t>
      </w:r>
    </w:p>
    <w:p>
      <w:r>
        <w:rPr>
          <w:b/>
        </w:rPr>
        <w:t>E. 33</w:t>
      </w:r>
    </w:p>
    <w:p>
      <w:r>
        <w:t>Le recours sera rejeté.</w:t>
      </w:r>
    </w:p>
    <w:p>
      <w:r>
        <w:rPr>
          <w:b/>
        </w:rPr>
        <w:t>E. 34</w:t>
      </w:r>
    </w:p>
    <w:p>
      <w:r>
        <w:t>La recourante qui n’obtient pas gain de cause ne peut prétendre à des dépens.</w:t>
      </w:r>
    </w:p>
    <w:p>
      <w:r>
        <w:rPr>
          <w:b/>
        </w:rPr>
        <w:t>E. 35</w:t>
      </w:r>
    </w:p>
    <w:p>
      <w:r>
        <w:t>Un émolument de CHF 200.- sera mis à la charge de la recourante. * * * * * *</w:t>
      </w:r>
    </w:p>
    <w:p>
      <w:r>
        <w:t>A/484/2020 - 16/16 -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