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ATAS/300/2023 vom 4. Mai 2023</w:t>
      </w:r>
    </w:p>
    <w:p>
      <w:r>
        <w:t>GE Cour de justice, 2023-05-04, FR</w:t>
      </w:r>
    </w:p>
    <w:p>
      <w:r>
        <w:rPr>
          <w:b/>
        </w:rPr>
        <w:t xml:space="preserve">Quelle: </w:t>
      </w:r>
      <w:r>
        <w:t>https://mcp.opencaselaw.ch/entscheid/ge_gerichte_ATAS_300_2023</w:t>
      </w:r>
    </w:p>
    <w:p>
      <w:r>
        <w:t>FR: GE_GERICHTE ATAS/300/2023 du 4 mai 2023</w:t>
      </w:r>
    </w:p>
    <w:p>
      <w:r>
        <w:t>IT: GE_GERICHTE ATAS/300/2023 del 4 maggio 2023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A/452/2023 ATAS/300/2023 COUR DE JUSTICE Chambre des assurances sociales Arrêt du 4 mai 2023 Chambre 3</w:t>
      </w:r>
    </w:p>
    <w:p>
      <w:r>
        <w:t>En la cause Madame A______</w:t>
      </w:r>
    </w:p>
    <w:p>
      <w:r>
        <w:t>recourante</w:t>
      </w:r>
    </w:p>
    <w:p>
      <w:r>
        <w:t>contre OFFICE DE L'ASSURANCE-INVALIDITE DU CANTON DE GENÈVE</w:t>
      </w:r>
    </w:p>
    <w:p>
      <w:r>
        <w:t>intimé</w:t>
      </w:r>
    </w:p>
    <w:p>
      <w:r>
        <w:t>A/452/2023 - 2/2 - Vu la décision de l’Office de l’assurance-invalidité (ci-après : OAI) du canton de Genève du 13 janvier 2023, Vu le recours interjeté par Madame A______ le 8 février 2023, Vu la réponse de l’intimé du 9 mars 2023, Vu l'audience de comparution personnelle des parties de ce jour, à l’issue de laquelle l’assurée a indiqué qu’elle retirait son recours,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 1. Prend acte du retrait du recours.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