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ATAS/300/2015 vom 28. April 2015</w:t>
      </w:r>
    </w:p>
    <w:p>
      <w:r>
        <w:t>GE Cour de justice, 2015-04-28, FR</w:t>
      </w:r>
    </w:p>
    <w:p>
      <w:r>
        <w:rPr>
          <w:b/>
        </w:rPr>
        <w:t xml:space="preserve">Quelle: </w:t>
      </w:r>
      <w:r>
        <w:t>https://mcp.opencaselaw.ch/entscheid/ge_gerichte_ATAS_300_2015</w:t>
      </w:r>
    </w:p>
    <w:p>
      <w:r>
        <w:t>FR: GE_GERICHTE ATAS/300/2015 du 28 avril 2015</w:t>
      </w:r>
    </w:p>
    <w:p>
      <w:r>
        <w:t>IT: GE_GERICHTE ATAS/300/2015 del 28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Selon l’art. 38 al. 3 phr. 1 LPGA, applicable via par renvoi de l’art. 60 al. 2 LPGA, lorsque le délai échoit un samedi, un dimanche ou un jour férié selon le droit fédéral ou cantonal, son terme</w:t>
      </w:r>
    </w:p>
    <w:p>
      <w:r>
        <w:t>A/2772/2014 - 12/21 - est reporté au premier jour qui suit. Le droit cantonal déterminant est celui du canton ou la partie ou son mandataire a son domicile ou son siège (art. 38 al. 3 phr. 2 LPGA). Suite à la notification de la décision querellée le 15 août 2014, le délai de recours a commencé à courir le lendemain (art. 38 al. 1 LPGA) et est arrivé à échéance le dimanche 14 septembre 2014. Posté le 15 septembre 2014, le recours a été interjeté en temps utile. Le présent recours respecte les exigences de forme et de contenu prescrites par la loi (art. 61 let. b LPGA). Le recourant a qualité pour recourir (art. 59 LPGA). Le présent recours est donc recevable.</w:t>
      </w:r>
    </w:p>
    <w:p>
      <w:r>
        <w:rPr>
          <w:b/>
        </w:rPr>
        <w:t>E. 4</w:t>
      </w:r>
    </w:p>
    <w:p>
      <w:r>
        <w:t>À titre préliminaire, il y a lieu de déterminer l’objet du litige.</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refuse au recourant aussi bien le droit à des mesures d’ordre professionnel que celui à une rente. Cela étant, le recours dont est saisie la chambre de céans ne porte que sur le refus d’octroyer une rente. Partant, l’objet du litige se limite à la question du droit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A/2772/2014 - 13/21 -</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d’une personne active,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w:t>
      </w:r>
    </w:p>
    <w:p>
      <w:r>
        <w:t>A/2772/2014 - 14/21 -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A/2772/2014 - 15/21 - fédérale de la Confédération suisse du 18 avril 1999 (RS 101 - Cst; SVR 2001 IV n.</w:t>
      </w:r>
    </w:p>
    <w:p>
      <w:r>
        <w:rPr>
          <w:b/>
        </w:rPr>
        <w:t>E. 10</w:t>
      </w:r>
    </w:p>
    <w:p>
      <w:r>
        <w:t>a. En l’espèce il ressort du rapport d’expertise de la CRR du 1er juillet 2013, rendu au terme de plus d’un mois d’observation, d’examens multiples, d’évaluations et de séances de physiothérapie que le recourant ne présente sur le plan somatique, en particulier neurologique et rhumatologique, aucune atteinte incapacitante à la santé. Fondée sur l’ensemble du dossier, retraçant une anamnèse fouillée tout en tenant compte des plaintes du recourant, cette expertise comporte un status objectif détaillé et nuancé ainsi que des conclusions convaincantes en tant qu’elle retient aucune incapacité de travail durable dans l’exercice de la profession habituelle de nettoyeur à l’aéroport. Partant, elle doit se voir reconnaître pleine valeur probante.</w:t>
      </w:r>
    </w:p>
    <w:p>
      <w:r>
        <w:t>b. Le recourant soutient qu’on ne saurait aboutir à une telle conclusion parce que les experts de la CRR ne seraient pas allés au bout de leurs investigations.</w:t>
      </w:r>
    </w:p>
    <w:p>
      <w:r>
        <w:t>Dans son rapport consécutif à la consultation de l’appareil locomoteur du 17 mai 2013, la Dresse O______ a indiqué qu’elle ne retrouvait ni signe inflammatoire périphérique ni limitation des amplitudes du rachis et que le bilan biologique ne montrait pas de syndrome inflammatoire. Elle avait certes indiqué que les douleurs paraissaient trop systématisées et diffuses pour pouvoir confirmer ou infirmer le diagnostic de rhumatisme psoriasique et que l’on pouvait imaginer procéder à une IRM des sacro-iliaques. Cela étant, il convient de relever que le diagnostic de rhumatisme psoriasique a bel et bien été retenu par les experts en consilium, mais que ces derniers ont considéré, sur la base des observations rassurantes de la Dresse O______, de radiographies du rachis cervical et lombaire et d’une IRM sacrale – non moins rassurantes – qu’il n’y avait rien, sur le plan rhumatologique, qui puisse limiter une reprise de l’activité professionnelle.</w:t>
      </w:r>
    </w:p>
    <w:p>
      <w:r>
        <w:t>S’agissant du rapport du Dr P______, on rappellera que les examens pratiqués par ce médecin n’ont pas permis de mettre en évidence une vestibulopathie périphérique expliquant actuellement les plaintes du patient. Il importe de souligner dans ce contexte que le bilan otoneurologique effectué par le Dr P______ constitue précisément une investigation supplémentaire qui a été décidée par les experts, après qu’ils eurent constaté qu’il existait des discordances aux résultats des tests avec des mouvements du tronc qui n’étaient pas des réactions de rattrapage mais d’action motrice (pièce 48 intimé, p. 6). Or, ledit bilan n’a fait que confirmer leur impression clinique de l’absence de tout signe d’une atteinte vestibulaire et – en tenant compte de l’ensemble des investigations sur le plan neurologique – de l’absence d’explication concernant la persistance des plaintes du recourant (pièce 48 intimé, p. 7).</w:t>
      </w:r>
    </w:p>
    <w:p>
      <w:r>
        <w:t>c. À bien suivre le recourant, des examens complémentaires auraient dû se poursuivre jusqu’à ce qu’ils concordent avec ses plaintes. Tel ne saurait être le cas. Selon la jurisprudence en effet, il est nécessaire mais il suffit que dans le cadre de la</w:t>
      </w:r>
    </w:p>
    <w:p>
      <w:r>
        <w:t>A/2772/2014 - 16/21 - mission d’instruction qui est la sienne, l’expert soit en mesure de se faire une idée suffisante de l’état de santé de l’assuré (arrêt du Tribunal fédéral 9C _914/2010 du 2 décembre 2010 consid. 3).</w:t>
      </w:r>
    </w:p>
    <w:p>
      <w:r>
        <w:t>d. Le recourant reproche également aux experts de n’avoir pas tenu compte, dans leurs conclusions, du constat du physiothérapeute, M. Q______, selon lequel il n’y avait pas eu d’évolution notable des capacités fonctionnelles et fonctions organiques au terme de la prise en charge physiothérapeutique. Ce grief est également infondé. Premièrement, il ressort du rapport de M. Q______ que le recourant s’autolimitait pour tous les muscles clés testés et que ses plaintes étaient tant incohérentes qu’inconstantes. Deuxièmement, les experts ont précisément tenu compte du rapport de physiothérapie, en particulier du déconditionnement qui y est mentionné (« rapidement essoufflé et en sueur ») en concluant à une capacité de travail de 50% du 24 juin 2013 au 7 juillet 2013 « pour favoriser un reconditionnement professionnel » (pièce 48 intimé, p. 8) et sans limitation au-delà.</w:t>
      </w:r>
    </w:p>
    <w:p>
      <w:r>
        <w:t>e. De plus, le recourant fait grief à Mme N______ de ne pas s’être prononcée sur la capacité de travail alors qu’elle avait indiqué que les résultats d’ensemble était en phase avec le ressenti du patient. Par ailleurs, étant donné qu’elle avait mis en évidence des troubles visuels conséquents, il aurait fallu investiguer la question. Or, dans la mesure où ces troubles avaient été objectivés par le Dr S______ qu’après l’expertise, ces éléments nouveaux remettaient en cause les conclusions des experts.</w:t>
      </w:r>
    </w:p>
    <w:p>
      <w:r>
        <w:t>Ces reproches s’avèrent également dénués de pertinence. Premièrement, on ne saurait réduire la portée du rapport de Mme N______ à cette seule assertion en faisant abstraction de son contexte, à savoir que « sur le plan cognitif, les résultats d’ensemble sont donc rassurants et en phase avec le ressenti du patient » (pièce 48 intimé, p. 18). Deuxièmement, s’il est vrai que la skew deviation, diagnostiquée par le Dr S______ le 23 juillet 2013, a échappé aux experts de la CRR, il n’en demeure pas moins que le Dr S______ a expliqué, en date du 17 février 2014, que les plaintes de diplopie s’étaient nettement améliorées avec la mise en place de prismes sur les lunettes et qu’il avait conseillé au recourant de reprendre une activité professionnelle. Troisièmement, le Dr T______ indique certes – en lien avec les troubles oculaires – que le rendement du recourant serait réduit d’environ 50% s’il reprenait un travail d’informaticien, mais cette conclusion n’interfère en rien avec les conclusions des experts de la CRR qui retiennent une capacité de travail de 100% dans l’activité habituelle d’agent de nettoyage.</w:t>
      </w:r>
    </w:p>
    <w:p>
      <w:r>
        <w:t>f. Dans ses écritures du 9 décembre 2014, le recourant indique enfin qu’il suit actuellement « un traitement extrêmement lourd » afin de soulager son rhumatisme psoriasique, ajoutant que cela n’avait pas été pris en considération dans l’expertise et que ce traitement pouvait pourtant occasionner une grande fatigue.</w:t>
      </w:r>
    </w:p>
    <w:p>
      <w:r>
        <w:t>Ces objections s’avèrent également infondées. Il ressort du rappel anamnestique de l’expertise sur le plan ostéo-articulaire que le recourant était déjà sous traitement médicamenteux lorsqu’il a entamé son séjour à la CRR. Cette information est</w:t>
      </w:r>
    </w:p>
    <w:p>
      <w:r>
        <w:t>A/2772/2014 - 17/21 - également corroborée par le rapport du Dr J______ du 8 avril 2013 (pièce 31 intimé, p. 1). Ainsi, pour autant que le traitement en question génère effectivement une grande fatigue, on ne saurait prétendre que celle-ci a échappé à l’appréciation des experts, ceux-ci ayant considéré de façon convaincante qu’il n’existait pas d’explication tangible aux limitations et restrictions avancées par ce dernier.</w:t>
      </w:r>
    </w:p>
    <w:p>
      <w:r>
        <w:t>g. Ainsi, l’argumentation développée par le recourant n’est pas de nature à remettre en cause les conclusions claires et bien motivées du rapport d’expertise de la CRR. Pour le surplus, la question des troubles oculaires et de leurs répercussions a été également éclaircie à satisfaction de droit par les Drs S______ et T______. Le premier a en effet attesté que la mise en place de prismes sur les lunettes de l’intéressé avait amélioré la symptomatologie au point qu’il recommandait la reprise d’une activité lucrative. Le second a quant à lui relevé que si les plaintes de diplopie survenaient facilement lorsque le recourant effectuait un effort de concentration visuelle important (lecture ou travail à l’ordinateur), les symptômes relatifs à ce trouble s’étaient nettement améliorés grâce au port des prismes précités, au point qu’un travail d’informaticien pouvait être exercé. Se fondant sur les plaintes du recourant faisant état d’une fatigue importante survenant après 30 à 45 minutes de lecture/travail à l’ordinateur, le Dr T______ a partant considéré que le rendement était diminué d’environ 50% en cas de reprise d’une activité d’informaticien.</w:t>
      </w:r>
    </w:p>
    <w:p>
      <w:r>
        <w:t>Le recourant tente encore de tirer argument des arrêts de travail délivrés par le Dr U______ les 11 octobre et 12 novembre 2013. Force est toutefois de constater que ces documents ne contiennent pas la moindre motivation et qu’en amont, soit le 29 juillet 2013, ce médecin faisait même état d’une légère amélioration depuis fin juin 2013, soit après l’expertise, au point qu’un retour au travail ultérieur était possible. Le Dr U______ ne mettant en exergue aucun élément qui aurait été ignoré par les experts de la CRR, en particulier par la Dresse O______, les certificats délivrés par ce rhumatologue traitant doivent céder le pas aux conclusions des experts de la CRR, en application des principes jurisprudentiels évoqués (cf. consid. 7c supra). Au regard de ces éléments, l’état de santé du recourant et ses répercussions sur la capacité de travail exigible dans une activité adaptée a été suffisamment investigué. Partant, la mise en œuvre d’une expertise judiciaire pluridisciplinaire ne se justifie pas.</w:t>
      </w:r>
    </w:p>
    <w:p>
      <w:r>
        <w:t>C'est donc à juste titre que l'intimé a considéré que la capacité de travail exigible du recourant était de 100% dans une activité d’informaticien, ceci avec une diminution de rendement de 50%, mais qu’elle était pleine et entière dans une activité adaptée respectant les limitations fonctionnelles, soit une activité ne nécessitant pas d’effort oculaire important, ce à partir du 8 juillet 2013 (cf. rapport SMR du 8 août 2014).</w:t>
      </w:r>
    </w:p>
    <w:p>
      <w:r>
        <w:rPr>
          <w:b/>
        </w:rPr>
        <w:t>E. 11</w:t>
      </w:r>
    </w:p>
    <w:p>
      <w:r>
        <w:t>Reste à déterminer le degré d’invalidité du recourant en procédant à la comparaison des revenus, le statut du recourant étant celui d’une personne active.</w:t>
      </w:r>
    </w:p>
    <w:p>
      <w:r>
        <w:t>A/2772/2014 - 18/21 -</w:t>
      </w:r>
    </w:p>
    <w:p>
      <w:r>
        <w:t>a. La comparaison des revenus s'effectue, en règle ordinaire, en comparant les revenus sans et avec invalidité chiffrés aussi exactement que possible,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A/2772/2014 - 19/21 -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c. Dans l’hypothèse où un assuré présente une capacité de travail entière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12</w:t>
      </w:r>
    </w:p>
    <w:p>
      <w:r>
        <w:t>a. En l’occurrence, pour le revenu sans invalidité, l’intimé s’est référé aux salaires statistiques ressortant de l’Enquête suisse sur la structure des salaires (ESS), en raison de l’absence d’activité professionnelle durable. Il résulte en effet des pièces du dossier que le recourant a exercé, entre juin 2011 et juin 2012, la profession d’agent de nettoyage en qualité d’auxiliaire, soit avec un horaire de travail variable dépendant des missions proposées par l’employeur (cf. pièce 67 intimé). Au vu du manque d’informations concrètes et fiables sur le revenu sans invalidité et compte tenu du parcours professionnel du recourant, qui n’a jamais exercé d’activité dans le domaine informatique en Suisse – ce qu’il ne pourrait pas au demeurant sans une remise à niveau (cf. pièce 65 intimé) –, c’est à juste titre que l’intimé s’est fondé sur les données statistiques résultant des ESS 2010, tableau TA 1, ligne total, pour une</w:t>
      </w:r>
    </w:p>
    <w:p>
      <w:r>
        <w:t>A/2772/2014 - 20/21 - activité de niveau 4 exercée à 100%. On rappellera que ce salaire statistique recouvre un large éventail d'activités variées et non qualifiées, n'impliquant pas de formation particulière (arrêt du Tribunal fédéral des assurances I 171/04 du 1er avril 2005 consid. 4.2, in REAS 2005 p. 240). Quant au revenu d’invalide, il convient de se référer aux mêmes données statistiques puisque le recourant n’exerce aucune activité lucrative et qu’il présente une capacité de travail de 100% dans ce même panel d’activités. b. Dès lors qu’il est superflu de chiffrer précisément les revenus avec et sans invalidité en pareil cas (cf. consid. 11 supra), il reste uniquement à examiner s’il y a lieu de procéder à une réduction du revenu d’invalide, ce que l’intimé s’est abstenu de faire dans la décision querellée. Selon la jurisprudence, l’administration ou le juge ne saurait introduire par le biais de la déduction sur le salaire d’invalide, une diminution de rendement de l’assuré dans le cadre de la capacité résiduelle de travail, alors que les médecins appelés à se prononcer sur celle-ci n’ont pas fait état d’une telle diminution (arrêt du Tribunal fédéral 9C_160/2014 du 30 juin 2014 consid. 5.1). Vu qu’en l’espèce, aucune diminution de rendement n’est attestée en lien avec une activité adaptée – soit une activité ne nécessitant pas d’effort oculaire important –, les limitations découlant du handicap visuel du recourant ne sauraient être prises en considération à titre de réduction supplémentaire. Pour le surplus, les autres critères admis par la jurisprudence ne sont pas non plus pertinents dans le cas particulier. Le recourant était âgé de 37 ans au moment de la décision, apte à travailler à plein temps et au bénéfice d’un permis de travail, de type B, accordé au titre du regroupement familial (époux d’une Suissesse), de sorte que son âge, son taux d’occupation possible et sa nationalité ne sont pas de nature à le désavantager, en termes salariaux, par rapport à d’autres travailleurs pour le type d’activités entrant en considération.</w:t>
      </w:r>
    </w:p>
    <w:p>
      <w:r>
        <w:rPr>
          <w:b/>
        </w:rPr>
        <w:t>E. 13</w:t>
      </w:r>
    </w:p>
    <w:p>
      <w:r>
        <w:t>Compte tenu de ce qui précède, le recours doit être rejeté.</w:t>
      </w:r>
    </w:p>
    <w:p>
      <w:r>
        <w:t>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(soit la chambre de céans [art. 134 al. 1 let. a ch. 2 LOJ])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du recourant. ******</w:t>
      </w:r>
    </w:p>
    <w:p>
      <w:r>
        <w:t>A/2772/2014 - 21/21 -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