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ATAS/2/2022 vom 7. Januar 2022</w:t>
      </w:r>
    </w:p>
    <w:p>
      <w:r>
        <w:t>GE Cour de justice, 2022-01-07, FR</w:t>
      </w:r>
    </w:p>
    <w:p>
      <w:r>
        <w:rPr>
          <w:b/>
        </w:rPr>
        <w:t xml:space="preserve">Quelle: </w:t>
      </w:r>
      <w:r>
        <w:t>https://mcp.opencaselaw.ch/entscheid/ge_gerichte_ATAS_2_2022</w:t>
      </w:r>
    </w:p>
    <w:p>
      <w:r>
        <w:t>FR: GE_GERICHTE ATAS/2/2022 du 7 janvier 2022</w:t>
      </w:r>
    </w:p>
    <w:p>
      <w:r>
        <w:t>IT: GE_GERICHTE ATAS/2/2022 del 7 gennaio 2022</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compte tenu de la suspension des délais pour la période du 15 juillet au 15 août inclusivement (art. 38 al. 4 let. b LPGA), le recours est recevable (art. 60 LPGA).</w:t>
      </w:r>
    </w:p>
    <w:p>
      <w:r>
        <w:rPr>
          <w:b/>
        </w:rPr>
        <w:t>E. 2</w:t>
      </w:r>
    </w:p>
    <w:p>
      <w:r>
        <w:t>Le litige porte principalement sur le droit de la recourante à l’octroi d’indemnités en cas de RHT du 1er septembre 2020 au 1er décembre 2020.</w:t>
      </w:r>
    </w:p>
    <w:p>
      <w:r>
        <w:rPr>
          <w:b/>
        </w:rPr>
        <w:t>E. 3</w:t>
      </w:r>
    </w:p>
    <w:p>
      <w:r>
        <w:t>La recourante se plaint en premier lieu d’une violation de son droit d’être entendue. Ce grief, de nature formelle, doit être examiné en premier lieu (ATF 144 I 11 consid. 5.3).</w:t>
      </w:r>
    </w:p>
    <w:p>
      <w:r>
        <w:t>A/3652/2020 - 5/9 -</w:t>
      </w:r>
    </w:p>
    <w:p>
      <w:r>
        <w:rPr>
          <w:b/>
        </w:rPr>
        <w:t>E. 3.1</w:t>
      </w:r>
    </w:p>
    <w:p>
      <w:r>
        <w:t>Le droit d'être entendu garanti par l’art. 29 al. 2 de la Constitution fédérale de la Confédération suisse du 18 avril 1999 (Cst - RS 101)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et les arrêts cités). Le droit d'être entendu est à la fois une institution servant à l'instruction de la cause et une faculté de la partie, en rapport avec sa personne, de participer au prononcé de décisions qui lèsent sa situation juridique (arrêt du Tribunal fédéral 4A_364/2015 du 13 avril 2016 consid. 2.2, non publié in ATF 142 III 355 ; ATF 126 I 15 consid. 2a/aa et les arrêts cités). Le droit de s’exprimer sur tous les points importants avant qu'une décision soit prise s'applique sans restriction pour les questions de fait. Selon la jurisprudence, sa violation peut cependant être réparée lorsque la partie lésée a la possibilité de s’exprimer devant une autorité de recours jouissant d'un plein pouvoir d'examen (ATF 145 I 167 consid. 4.4 ; ATF 142 II 218 consid. 2.8.1 et les arrêts cités).</w:t>
      </w:r>
    </w:p>
    <w:p>
      <w:r>
        <w:rPr>
          <w:b/>
        </w:rPr>
        <w:t>E. 3.2</w:t>
      </w:r>
    </w:p>
    <w:p>
      <w:r>
        <w:t>En l’espèce, la recourante a pu faire valoir ses arguments dans son opposition de sorte que son droit d’être entendue a été respecté. Une éventuelle violation de son droit d’être entendue aurait de toute manière été réparée puisque la recourante a eu la possibilité de faire valoir tous ses moyens devant la chambre de céans, qui jouit d’un plein pouvoir d’examen. On relèvera, au demeurant, qu'au vu du désintérêt manifesté par la recourante dans le cadre de la procédure devant la chambre de céans, l'intéressée est mal venue de se plaindre d'une violation de son droit d'être entendue. En effet, dûment convoquée à une audience de comparution personnelle, la recourante ne s'est pas présentée, sans avoir été excusée. Invitée à se déterminer sur le procès-verbal d'audience, la recourante ne s'est pas non plus déterminée. Le grief de la recourante sera donc écarté.</w:t>
      </w:r>
    </w:p>
    <w:p>
      <w:r>
        <w:rPr>
          <w:b/>
        </w:rPr>
        <w:t>E. 4.1.1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Le but de l’indemnité en cas de RHT consiste, d’une part, à garantir aux personnes assurées une compensation appropriée pour les pertes de salaire dues à des RHT et à éviter le chômage complet, à savoir des licenciements et résiliations</w:t>
      </w:r>
    </w:p>
    <w:p>
      <w:r>
        <w:t>A/3652/2020 - 6/9 -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Selon l’art. 31 al. 1 LACI, les travailleurs, dont la durée normale de travail est réduite ou l’activité suspendue, ont droit à l’indemnité en cas de RHT lorsque : - ils sont tenus de cotiser à l’assurance ou qu’ils n’ont pas encore atteint l’âge minimum de l’assujettissement aux cotisations AVS (let. a) ; - la perte de travail doit être prise en considération (let. b) ; - le congé n’a pas été donné (let. c) ; - la réduction de l’horaire de travail est vraisemblablement temporaire, et si l’on peut admettre qu’elle permettra de maintenir les emplois en question (let. d). Aux termes de l’art. 32 al. 1 LACI, la perte de travail est prise en considération lorsqu’elle est due à des facteurs d’ordre économique et est inévitable (let. a) et qu’elle est d’au moins 10 % de l’ensemble des heures normalement effectuées par les travailleurs de l’entreprise (let. b). En revanche, la perte de travail n’est pas prise en considération lorsqu’elle est due à des mesures touchant l’organisation de l’entreprise ou encore à des circonstances inhérentes aux risques normaux d’exploitation que l’employeur doit assumer (art. 33 al. 1 let. a LACI). Les deux conditions de l’art. 32 al. 1 let. a LACI (perte de travail due à des facteurs économiques et inévitables) sont cumulatives (ATF 121 V 371 consid. 2a).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w:t>
      </w:r>
    </w:p>
    <w:p>
      <w:r>
        <w:rPr>
          <w:b/>
        </w:rPr>
        <w:t>E. 4.1.2</w:t>
      </w:r>
    </w:p>
    <w:p>
      <w:r>
        <w:t>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w:t>
      </w:r>
    </w:p>
    <w:p>
      <w:r>
        <w:t>A/3652/2020 - 7/9 -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w:t>
      </w:r>
    </w:p>
    <w:p>
      <w:r>
        <w:rPr>
          <w:b/>
        </w:rPr>
        <w:t>E. 4.2</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du 13 mars 2020 sur les mesures destinées à lutter contre le coronavirus du 13 mars 2020 (Ordonnance 2 COVID-19 ; RS 818.101.24) qui ordonnait notamment la mise en place des mesures visant à restreindre l’entrée en Suisse de personnes en provenance de pays ou de régions à risque (art. 2 al. 1 let. a). Le Secrétariat d’État aux migrations tient à jour une liste des pays et régions considérés à risque. En réaction aux mesures prises par les États et à l’évolution de l’épidémie, les compagnies aériennes ont annulé tout ou partie de leurs vols internationaux.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1er mars 2020 (art. 9 al. 1).</w:t>
      </w:r>
    </w:p>
    <w:p>
      <w:r>
        <w:rPr>
          <w:b/>
        </w:rPr>
        <w:t>E. 4.3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4.4</w:t>
      </w:r>
    </w:p>
    <w:p>
      <w:r>
        <w:t>Dans la décision entreprise, l’intimé s’est opposé au paiement de l’indemnité en cas de RHT, au motif que la perte de travail, en plus de ne pas être avérée, n’était pas inévitable. S'il était possible que le nombre d'interventions relatives au traitement des punaises de lit soit en diminution en raison de l'annulation de nombreux voyages à l'étranger, force était de constater que les autres types de nuisibles n'avaient pas disparu. La désinfection des locaux était par ailleurs en pleine expansion. Enfin, l'employeur avait décidé lui-même d'occuper le rôle de collaborateur administratif, de sorte que la perte de travail n'était pas inévitable.</w:t>
      </w:r>
    </w:p>
    <w:p>
      <w:r>
        <w:t>A/3652/2020 - 8/9 - En l'occurrence, force est d'admettre, avec l'intimé, que l'existence d'une perte de travail n'est pas établie. Dans son recours, la société se prévaut, pour seule pièce, d'un document intitulé "Agendas de Monsieur C______". Or, outre le fait que l'on ne peut rien tirer de cette pièce, peu lisible, M. C______ a expliqué en audience qu'il ne s'agissait pas de son agenda personnel, étant précisé qu'il ne travaillait pas avec un agenda. Devant la chambre de céans, la recourante a expliqué que le traitement des punaises de lit représentait le 90 % des activités de la société, le 10 % restant étant consacré aux autres nuisibles, voire la désinfection des locaux. De plus, les soucis liés aux invasions de blattes étaient rencontrés principalement durant les mois de juillet à octobre, de sorte qu'il ne s'agissait pas d'un domaine praticable toute l'année. Dans ces conditions, l'activité de son employé, M. C______, qui ne représentait que deux ou trois appels par jour, était assurée par M. B______. Enfin, la société avait tenté d'étendre son activité dans le but de faire face aux conséquences économiques désastreuses dues à la crise sanitaire. Invitée par la chambre de céans à produire des pièces à l'appui de ses allégations, la recourante a produit le cahier des charges de M. C______, ainsi que les comptes de la société pour les années 2019 et 2020. Or, ainsi que l'admet la fiduciaire de la recourante, les comptes de la société ne permettent pas de mettre en évidence une perte de travail. Au contraire, les produits de la société n'ont eu cesse d'évoluer depuis 2019. En effet, alors que les produits de la société s'élevaient à CHF 276'217.71 en 2019, ils se montaient à CHF 319'778.50 en 2020. En 2021, et malgré une baisse de revenus en janvier, les produits sont restés supérieurs à 2019 pour la période de janvier à août. Quant au cahier des charges de l'employé, il ne permet pas non plus d'attester une perte de travail. Il manque en particulier au dossier les relevés d'activités mensuels de l'employé, permettant d'établir la répartition de ses activités et la réduction de certaines d'entre elles par rapport à 2019. Entendu en audience, M. C______ a indiqué qu'il était à disposition de son employeur durant la pandémie. S'il a certes relevé que ses activités avaient été modifiées durant cette période, l'employé ayant effectué davantage de formations et très peu de travail à l'extérieur, il ne résulte pas, de ses déclarations, que ses heures de travail auraient diminué en 2020, par rapport à 2019. Il convient donc de retenir que l'existence d'une perte de travail n'est pas établie au degré de la vraisemblance prépondérante requise en assurances sociales.</w:t>
      </w:r>
    </w:p>
    <w:p>
      <w:r>
        <w:rPr>
          <w:b/>
        </w:rPr>
        <w:t>E. 5</w:t>
      </w:r>
    </w:p>
    <w:p>
      <w:r>
        <w:t>Les considérants qui précèdent conduisent au rejet du recours et à la confirmation de la décision entreprise. Pour le surplus, la procédure est gratuite (art. 61 let. a LPGA, dans sa version en vigueur, applicable en l'occurrence, au 31 décembre 2020, en lien avec l'art. 1 al. 1 LACI).</w:t>
      </w:r>
    </w:p>
    <w:p>
      <w:r>
        <w:t>A/3652/2020 - 9/9 -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