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ATAS/2/2019 vom 7. Januar 2019</w:t>
      </w:r>
    </w:p>
    <w:p>
      <w:r>
        <w:t>GE Cour de justice, 2019-01-07, FR</w:t>
      </w:r>
    </w:p>
    <w:p>
      <w:r>
        <w:rPr>
          <w:b/>
        </w:rPr>
        <w:t xml:space="preserve">Quelle: </w:t>
      </w:r>
      <w:r>
        <w:t>https://mcp.opencaselaw.ch/entscheid/ge_gerichte_ATAS_2_2019</w:t>
      </w:r>
    </w:p>
    <w:p>
      <w:r>
        <w:t>FR: GE_GERICHTE ATAS/2/2019 du 7 janvier 2019</w:t>
      </w:r>
    </w:p>
    <w:p>
      <w:r>
        <w:t>IT: GE_GERICHTE ATAS/2/2019 del 7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(art. 56ss LPGA), le présent recours est recevable.</w:t>
      </w:r>
    </w:p>
    <w:p>
      <w:r>
        <w:t>A/5077/2017 - 10/18 - En particulier, malgré leur libellé, on interprétera les conclusions de la recourante relatives à la reconnaissance de son droit à la rente comme tendant à la condamnation de l’intimé au versement de ces prestations. Elles sont ainsi recevables, contrairement à des conclusions constatatoires dont le caractère est subsidiaire par rapport à une action formatrice (ATF 129 V 289 consid. 2.1, arrêt du Tribunal fédéral des assurances B 149/06 du 11 juin 2007 consid. 5.2).</w:t>
      </w:r>
    </w:p>
    <w:p>
      <w:r>
        <w:rPr>
          <w:b/>
        </w:rPr>
        <w:t>E. 3</w:t>
      </w:r>
    </w:p>
    <w:p>
      <w:r>
        <w:t>Le litige, circonscrit par la décision attaquée, porte sur le droit de la recourante à une rente d’invalidité et à des mesures d’ordre professionnel. On précisera que si la décision attaquée ne tranche pas expressément le droit à la rente à la suite du changement dans les dispositions topiques au 1er janvier 2018, que l’on examinera ci-après, l’intimé s’est cependant prononcé sur ce point dans sa réponse du 30 janvier 2018. Cette question est en outre très étroitement liée à l'objet du litige initial. Ainsi, les conditions auxquelles la jurisprudence admet, pour des motifs d'économie de procédure, l’extension de la procédure juridictionnelle à une question en état d'être jugée qui excède l'objet de la contestation sont réalisées (arrêt du Tribunal fédéral 9C_694/2009 du 31 décembre 2010 consid. 3.1). Le droit de la recourante à une allocation d’impotence et à des moyens auxiliaires n’a en revanche pas à être examiné dans le cadre de la présente procédure dès lors qu’il ne fait pas l’objet de la décision attaquée.</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A/5077/2017 - 11/18 - 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w:t>
      </w:r>
    </w:p>
    <w:p>
      <w:r>
        <w:t>A/5077/2017 - 12/18 -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dans sa version en vigueur jusqu’au 31 décembre 2017 dispose que par travaux habituels, il faut notamment entendre l'activité usuelle dans le ménage, l'éducation des enfants ainsi que toute activité artistique ou d'utilité publique (ATF 137 V 334 consid. 3.1.2). 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w:t>
      </w:r>
    </w:p>
    <w:p>
      <w:r>
        <w:t>A/5077/2017 - 13/18 -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c) Selon le droit en vigueur jusqu’au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w:t>
      </w:r>
    </w:p>
    <w:p>
      <w:r>
        <w:rPr>
          <w:b/>
        </w:rPr>
        <w:t>E. 8</w:t>
      </w:r>
    </w:p>
    <w:p>
      <w:r>
        <w:t>En l’espèce, il convient en premier lieu de déterminer si l’expertise réalisée par le CEMEd satisfait aux exigences jurisprudentielles rappelées ci-dessus. Tel est bien le cas. En effet, les médecins ont examiné la recourante après avoir pris connaissance de son dossier, l’avoir interrogée sur son historique médical et avoir procédé à des examens cliniques complétés par l’analyse de ses radiographies. Leurs diagnostics sont clairs et leurs conclusions motivées. La recourante ne remet</w:t>
      </w:r>
    </w:p>
    <w:p>
      <w:r>
        <w:t>A/5077/2017 - 15/18 - du reste plus réellement en cause l’évaluation des experts. Elle ne produit d’ailleurs aucun document susceptible de la mettre en doute. Partant, la chambre de céans se ralliera à l’appréciation des Drs E______, F______ et G______, selon laquelle la recourante conserve une capacité de travail de 50 % dans une activité de secrétariat, adaptée à ses limitations, avec toutefois des crises algiques entraînant trois à quatre jours par mois en semaine une incapacité de travail totale. A cet égard, il faut souligner que cet élément, invoqué par la recourante à l’appui de ses conclusions, ne relève nullement d’une observation « manifestement détournée », comme l’affirme l’intimé, mais d’une constatation claire et répétée des experts, qui ont mentionné ce point à plusieurs reprises dans leur rapport, notamment dans la description de l’évolution de la capacité de travail ainsi que dans la rubrique afférente à la diminution de rendement. Partant, on ne peut en faire abstraction. La recourante allègue que de telles crises rendent impossible l’exploitation de sa capacité résiduelle de travail, dès lors qu’aucun employeur ne consentirait à engager – ou à conserver à son service – une personne dont l’état de santé entraîne des absences régulières mais non programmables. Lorsqu'il s'agit d'examiner dans quelle mesure un assuré peut encore exploiter économiquement sa capacité résiduelle de gain sur le marché du travail, on ne saurait subordonner la concrétisation des possibilités de travail et des perspectives de gain à des exigences excessives. Partant,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soit sur un marché équilibré du travail – notion théorique et abstraite qui sert de critère de distinction entre les cas tombant sous le coup de l'assurance-chômage et ceux qui relèvent de l'assurance-invalidité (arrêt du Tribunal fédéral 9C_659/2014 du 13 mars 2015 consid. 5.3.2). Or, dans le cas d’espèce, on ne saurait conclure que l’exercice d’une activité dans les conditions définies par les experts est impossible sur un marché équilibré du travail. En particulier, le fait qu’une activité à domicile ait été qualifiée d’idéale ne signifie pas qu’il s’agisse de la seule option professionnelle envisageable. En revanche, comme le souligne à juste titre la recourante, la capacité de travail retenue dans le calcul du degré d’invalidité doit tenir compte des crises hyperalgiques qui diminuent le rendement son rendement et doit être calculée en moyenne (cf. sur ce point arrêt du Tribunal fédéral 9C_248/2018 du 19 septembre 2018 consid. 6.2). Comme cela ressort sans équivoque de l’expertise du CEMed, ces crises s’ajoutent à l’incapacité de travail de 50 %. Si l’on admet qu’une activité à 100 % correspond à une moyenne de 21.7 jours ouvrables (cf. arrêt du Tribunal fédéral 8C_542/2016 du 18 avril 2017 consid. 4.1), une activité à 50 % correspond à 10.85 jours ouvrés complets. Or, il convient de soustraire encore les absences liées aux crises algiques (représentant 3.5 demi-journées d’absence supplémentaires</w:t>
      </w:r>
    </w:p>
    <w:p>
      <w:r>
        <w:t>A/5077/2017 - 16/18 - par rapport à une activité exercée quatre heures par jour, soit 1.75 journée de travail complète), ce qui porte le nombre de journées ouvrées complètes à 9.1. Cela représente ainsi une capacité de travail de 42 %.</w:t>
      </w:r>
    </w:p>
    <w:p>
      <w:r>
        <w:rPr>
          <w:b/>
        </w:rPr>
        <w:t>E. 9</w:t>
      </w:r>
    </w:p>
    <w:p>
      <w:r>
        <w:t>janvier 2018, qui prévoit que les premières demandes de rente déposées avant le 1er juillet 2017 sont traitées selon le modèle de calcul actuel jusqu’au 31 décembre 2017, puis selon le nouveau mode de calcul à compter du 1er janvier 2018. Le calcul du degré d’invalidité doit ainsi s’opérer en fonction de l’ancien droit jusqu’au 31 décembre 2017, et en appliquant les nouvelles dispositions réglementaires dès le 1er janvier 2018. a) En ce qui concerne le droit à la rente jusqu’au 31 décembre 2017, il faut en premier lieu établir l’incapacité de gain de la recourante, qui représente la variable IE de la formule suscitée (ATF 137 V 334 consid. 7.1 ; arrêt du Tribunal fédéral 9C_34/2016 du 14 septembre 2016 consid. 3.2). Compte tenu du fait que l’activité avant atteinte à la santé – soit le secrétariat – reste adaptée, on se référera aux mêmes données statistiques pour établir le revenu avant et après invalidité. Sur ce point, on ne peut retenir le revenu que la recourante obtenait chez son dernier employeur, puisqu’il correspondait à un poste à 50 %, dans lequel elle n’exploitait pas complètement sa capacité de travail sans atteinte à la santé. On se fondera sur un revenu de niveau 2 tiré d’activités administratives et de soutien (ESS 2014, TA1_tirage_skill_level, Lignes 77-82), soit CHF 4'824.- par mois et CHF 57'888.- par an pour 40 heures par semaine, soit à plein temps. Le salaire sans invalidité s’élève ainsi à CHF 46'310.40 à 80 %. Après invalidité, ce revenu s’élève à CHF 24'313.- (soit 42 % de CHF 57'888.-). Il convient d’opérer un abattement de</w:t>
      </w:r>
    </w:p>
    <w:p>
      <w:r>
        <w:rPr>
          <w:b/>
        </w:rPr>
        <w:t>E. 10</w:t>
      </w:r>
    </w:p>
    <w:p>
      <w:r>
        <w:t>En ce qui concerne le droit à des mesures d’ordre professionnel, c’est à juste titre que l’intimé a considéré qu’il n’était pas ouvert eu égard au caractère adapté de l’activité exercée jusqu’à la survenance de l’atteinte. En effet, dans de telles circonstances, de telles mesures ne permettraient pas de réduire l’invalidité. Par conséquent, une évaluation par les EPI s’avère superfétatoire, par appréciation anticipée des preuves (ATF 140 I 285 consid. 6.3.1).</w:t>
      </w:r>
    </w:p>
    <w:p>
      <w:r>
        <w:rPr>
          <w:b/>
        </w:rPr>
        <w:t>E. 11</w:t>
      </w:r>
    </w:p>
    <w:p>
      <w:r>
        <w:t>Conformément à ce qui précède, le recours est partiellement admis. La recourante obtenant partiellement gain de cause, elle a droit à des dépens, qui seront fixés à CHF 2'500.- (art. 61 let. g LPGA). La procédure en matière d'assurance-invalidité n'étant pas gratuite (art. 69 al. 1bis LAI), un émolument de CHF 500.- sera mis à la charge de l'intimé.</w:t>
      </w:r>
    </w:p>
    <w:p>
      <w:r>
        <w:t>A/5077/2017 - 18/18 -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