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ATAS/2/2018 vom 8. Januar 2018</w:t>
      </w:r>
    </w:p>
    <w:p>
      <w:r>
        <w:t>GE Cour de justice, 2018-01-08, FR</w:t>
      </w:r>
    </w:p>
    <w:p>
      <w:r>
        <w:rPr>
          <w:b/>
        </w:rPr>
        <w:t xml:space="preserve">Quelle: </w:t>
      </w:r>
      <w:r>
        <w:t>https://mcp.opencaselaw.ch/entscheid/ge_gerichte_ATAS_2_2018</w:t>
      </w:r>
    </w:p>
    <w:p>
      <w:r>
        <w:t>FR: GE_GERICHTE ATAS/2/2018 du 8 janvier 2018</w:t>
      </w:r>
    </w:p>
    <w:p>
      <w:r>
        <w:t>IT: GE_GERICHTE ATAS/2/2018 del 8 gennaio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w:t>
      </w:r>
    </w:p>
    <w:p>
      <w:r>
        <w:t>A/2974/2016 - 4/6 - Le jugement de divorce ayant été rendu avant l'entrée en vigueur, le 1er janvier 2017, des nouvelles dispositions relatives au partage de la prévoyance professionnelle en cas de divorce, la chambre de céans applique les dispositions légales dans leur ancienne teneur (art. 7d Tit. fin. CC).</w:t>
      </w:r>
    </w:p>
    <w:p>
      <w:r>
        <w:rPr>
          <w:b/>
        </w:rPr>
        <w:t>E. 1.5</w:t>
      </w:r>
    </w:p>
    <w:p>
      <w:r>
        <w:t>% de 2012 à 2013, 1.75 % de 2014 à 2015 et 1.25 % dès le 1er janvier 2016. En l'espèce, les intérêts dus à la demanderesse sur l'avoir existant au moment du mariage ont déjà été calculés de sorte qu'ils sont déjà inclus dans les calculs qui vont suivre.</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3</w:t>
      </w:r>
    </w:p>
    <w:p>
      <w:r>
        <w:t>Selon l'art. 22 al. 1 LFLP (nouvelle teneur en vigueur depuis le 1er janvier 2011), en cas de divorce, les prestations de sortie acquises durant le mariage sont partagées conformément aux art. 122 et 123 et des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w:t>
      </w:r>
    </w:p>
    <w:p>
      <w:r>
        <w:rPr>
          <w:b/>
        </w:rPr>
        <w:t>E. 5</w:t>
      </w:r>
    </w:p>
    <w:p>
      <w:r>
        <w:t>En l’espèce, le juge de première instance a ordonné le partage par moitié des prestations de sortie acquises durant le mariage par les demandeurs. Les dates pertinentes sont, d’une part, celle du mariage, le 28 octobre 2006, d’autre part le 18 août 2016, date à laquelle le jugement de divorce est devenu exécutoire.</w:t>
      </w:r>
    </w:p>
    <w:p>
      <w:r>
        <w:t>A/2974/2016 - 5/6 -</w:t>
      </w:r>
    </w:p>
    <w:p>
      <w:r>
        <w:rPr>
          <w:b/>
        </w:rPr>
        <w:t>E. 6</w:t>
      </w:r>
    </w:p>
    <w:p>
      <w:r>
        <w:t>Selon les documents produits, la prestation acquise pendant le mariage par le demandeur est de CHF 10'251.48, tandis que celle acquise par la demanderesse est de CHF 96'606.45 (CHF 150'402.95 - CHF 53'796.50 prestation de sortie acquise avant le mariage), les intérêts ayant déjà été calculés par l'institution de prévoyance défenderesse. Ainsi le demandeur doit à son ex-épouse le montant de CHF 5'125.30 (CHF 10'251.48 : 2) et celle-ci doit à celui-là le montant de CHF 48'303.20 (CHF 96'606.45 : 2), de sorte que c’est Madame qui doit à Monsieur le montant de CHF 43'177.90.</w:t>
      </w:r>
    </w:p>
    <w:p>
      <w:r>
        <w:rPr>
          <w:b/>
        </w:rPr>
        <w:t>E. 7</w:t>
      </w:r>
    </w:p>
    <w:p>
      <w:r>
        <w:t>LPP. S'agissant de l'emploi de l'intéressé à l'Hôtel D______, les cotisations LPP afférentes à cette période sont déjà prises en compte dans les documents réunis dans le cadre de l'instruction. S'agissant des périodes de chômage, selon l'art. 22a al. 3 LACI, les cotisations de prévoyance professionnelle sont déduites du montant de l'indemnité de chômage et sont destinées à garantir la couverture d'assurance en cas d'invalidité ou de décès, mais pas l'épargne vieillesse. (art. 1 de l'ordonnance sur la prévoyance professionnelle obligatoire des chômeurs du 3 mars 1997 RS 837.174) ; en ce qui concerne l'année 2011, le revenu total réalisé est inférieur au revenu déterminant minimal de l'art.7 LPP ; enfin, en ce qui concerne l'année 2012, les montants de cotisations y relatifs ont bien été pris en compte dans les données fournies par Gastrosocial, de sorte qu'ils sont inclus dans le montant du calcul mentionné ci-dessus (consid. 6).</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w:t>
      </w:r>
    </w:p>
    <w:p>
      <w:r>
        <w:t>A/2974/2016 - 6/6 -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