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ATAS/2/2011 vom 6. Januar 2011</w:t>
      </w:r>
    </w:p>
    <w:p>
      <w:r>
        <w:t>GE Cour de justice, 2011-01-06, FR</w:t>
      </w:r>
    </w:p>
    <w:p>
      <w:r>
        <w:rPr>
          <w:b/>
        </w:rPr>
        <w:t xml:space="preserve">Quelle: </w:t>
      </w:r>
      <w:r>
        <w:t>https://mcp.opencaselaw.ch/entscheid/ge_gerichte_ATAS_2_2011</w:t>
      </w:r>
    </w:p>
    <w:p>
      <w:r>
        <w:t>FR: GE_GERICHTE ATAS/2/2011 du 6 janvier 2011</w:t>
      </w:r>
    </w:p>
    <w:p>
      <w:r>
        <w:t>IT: GE_GERICHTE ATAS/2/2011 del 6 gennaio 2011</w:t>
      </w:r>
    </w:p>
    <w:p>
      <w:pPr>
        <w:pStyle w:val="Heading2"/>
      </w:pPr>
      <w:r>
        <w:t>Erwägungen</w:t>
      </w:r>
    </w:p>
    <w:p>
      <w:r>
        <w:rPr>
          <w:b/>
        </w:rPr>
        <w:t>E. 1</w:t>
      </w:r>
    </w:p>
    <w:p>
      <w:r>
        <w:t>Jusqu’au 31 décembre 2010, le Tribunal cantonal des assurances sociales était compétent en la matière (art. 56 V de la loi sur l’organisation judiciaire du 22 novembre 1941, en vigueur jusqu'au 31 décembre 2010; LOJ - RS E 2 05); Dès le 1er janvier 2011, cette compétence revient à la Chambre des assurances sociales de la Cour de justice, laquelle reprend les procédures pendantes devant le Tribunal cantonal des assurances sociales (art. 143 al. 6 de la LOJ du 9 octobre 2009).</w:t>
      </w:r>
    </w:p>
    <w:p>
      <w:r>
        <w:rPr>
          <w:b/>
        </w:rPr>
        <w:t>E. 2</w:t>
      </w:r>
    </w:p>
    <w:p>
      <w:r>
        <w:t>Conformément au principe inquisitoire qui régit la procédure dans le domaine des assurances sociales (cf. art. 43 LPGA), l'administration est tenue d'ordonner une</w:t>
      </w:r>
    </w:p>
    <w:p>
      <w:r>
        <w:t>- 7/8-</w:t>
      </w:r>
    </w:p>
    <w:p>
      <w:r>
        <w:t>A/301/2009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3</w:t>
      </w:r>
    </w:p>
    <w:p>
      <w:r>
        <w:t>En l'occurrence, les médecins traitants de la recourante ont attesté un état anxio- dépressif depuis avril 2008 engendrant une incapacité totale de travailler, en dépit d'un traitement antidépresseur. Aucun médecin ayant examiné la recourante n'a émis un avis contraire. Aussi, l'intimé ne pouvait-il faire totalement abstraction de cette atteinte et aurait dû vérifier par un examen médical du SMR ou un expert extérieur la réalité de cette affection, ainsi que son incidence sur la capacité de travail. Il appert ainsi que l'instruction du dossier est lacunaire. Cela étant, il convient d'évaluer l'état psychique de la recourante par un expert judiciaire.</w:t>
      </w:r>
    </w:p>
    <w:p>
      <w:r>
        <w:rPr>
          <w:b/>
        </w:rPr>
        <w:t>E. 4</w:t>
      </w:r>
    </w:p>
    <w:p>
      <w:r>
        <w:t>Depuis quand sa capacité de travail est-elle réduite et comment a-t-elle évolué ?</w:t>
      </w:r>
    </w:p>
    <w:p>
      <w:r>
        <w:rPr>
          <w:b/>
        </w:rPr>
        <w:t>E. 5</w:t>
      </w:r>
    </w:p>
    <w:p>
      <w:r>
        <w:t>Le traitement médical est-il adéquat ? Dans la négative, que proposeriez- vous ?</w:t>
      </w:r>
    </w:p>
    <w:p>
      <w:r>
        <w:rPr>
          <w:b/>
        </w:rPr>
        <w:t>E. 6</w:t>
      </w:r>
    </w:p>
    <w:p>
      <w:r>
        <w:t>Quel est votre pronostic ? D. Invite le Dr P________ à déposer le plus rapidement possible un rapport en trois exemplaires à la Chambre de céans. E. Réserve le fond.</w:t>
      </w:r>
    </w:p>
    <w:p>
      <w:r>
        <w:t>La greffière</w:t>
      </w:r>
    </w:p>
    <w:p>
      <w:r>
        <w:t>Maryse BRIAND</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