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ATAS/2/2009 vom 5. Januar 2009</w:t>
      </w:r>
    </w:p>
    <w:p>
      <w:r>
        <w:t>GE Cour de justice, 2009-01-05, FR</w:t>
      </w:r>
    </w:p>
    <w:p>
      <w:r>
        <w:rPr>
          <w:b/>
        </w:rPr>
        <w:t xml:space="preserve">Quelle: </w:t>
      </w:r>
      <w:r>
        <w:t>https://mcp.opencaselaw.ch/entscheid/ge_gerichte_ATAS_2_2009</w:t>
      </w:r>
    </w:p>
    <w:p>
      <w:r>
        <w:t>FR: GE_GERICHTE ATAS/2/2009 du 5 janvier 2009</w:t>
      </w:r>
    </w:p>
    <w:p>
      <w:r>
        <w:t>IT: GE_GERICHTE ATAS/2/2009 del 5 gennaio 2009</w:t>
      </w:r>
    </w:p>
    <w:p>
      <w:pPr>
        <w:pStyle w:val="Heading2"/>
      </w:pPr>
      <w:r>
        <w:t>Erwägungen</w:t>
      </w:r>
    </w:p>
    <w:p>
      <w:r>
        <w:rPr>
          <w:b/>
        </w:rPr>
        <w:t>E. 1</w:t>
      </w:r>
    </w:p>
    <w:p>
      <w:r>
        <w:t>Par ordonnance du 18 mars 2008, le Tribunal de céans a déclaré le recours recevable et la loi fédérale sur la partie générale du droit des assurances sociales du 6 octobre 2000 (LPGA) applicable.</w:t>
      </w:r>
    </w:p>
    <w:p>
      <w:r>
        <w:rPr>
          <w:b/>
        </w:rPr>
        <w:t>E. 2</w:t>
      </w:r>
    </w:p>
    <w:p>
      <w:r>
        <w:t>L'objet du litige porte sur le droit de la recourante à des prestations de l'assurance- invalidité, en particulier à une rente d'invalidité.</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w:t>
      </w:r>
    </w:p>
    <w:p>
      <w:r>
        <w:t>A/2646/2007 - 15/24 -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w:t>
      </w:r>
    </w:p>
    <w:p>
      <w:r>
        <w:t>A/2646/2007 - 16/24 -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A/2646/2007 - 17/24 -</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A/2646/2007 - 18/24 -</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w:t>
      </w:r>
    </w:p>
    <w:p>
      <w:r>
        <w:t>A/2646/2007 - 19/24 -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w:t>
      </w:r>
    </w:p>
    <w:p>
      <w:r>
        <w:t>A/2646/2007 - 20/24 -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l'espèce, les expertises des Drs Q________ et R________ ainsi que le complément de celui-ci du 2 décembre 2008 remplissent les exigences jurisprudentielles précitées pour qu'il leur soit reconnu une pleine valeur probante. Elles comprennent, après deux consultations chacune, une anamnèse complète, relatent les plaintes de la recourante, se fondent sur un examen clinique complet et leurs conclusions sont bien motivées.</w:t>
      </w:r>
    </w:p>
    <w:p>
      <w:r>
        <w:t>A/2646/2007 - 21/24 - b) A cet égard, la recourante prétend que l'expertise du Dr R________ est contradictoire dès lors que ce médecin affirme, d'une part, être d'accord avec une capacité de travail de 100 % dans une activité adaptée telle qu'estimée par le SMR (expertise p. 11) et, d'autre part, atteste d'une capacité de travail de 50 % dès juillet 2006 (expertise p. 10). Cependant, dans son complément d'expertise, le Dr R________ a précisé qu'il avait suivi l'avis du SMR du 19 juillet 2005 constatant une capacité de travail de la recourante de 100 % dans une activité adaptée depuis le 1er novembre 2003, que toutefois depuis juillet 2006, date à laquelle un réentraînement au travail avait été proposé à la recourante il était clairement apparu des difficultés empêchant l'augmentation du taux d'activité de 50 à 75 % de sorte que, dès cette date, il constatait une capacité de travail limitée à 50 %, qu'enfin cette limitation de la capacité de travail lui paraissait manifeste en raison, en particulier, de l'incapacité totale de la recourante à utiliser son membre supérieur gauche (poignet et main gauches). Il apparaît ainsi que l'avis du Dr R________ n'est pas contradictoire mais permet d'évaluer dans le temps la capacité de travail de la recourante, soit une capacité de 100 % dans une activité adaptée depuis le 1er novembre 2003 et une capacité de 50 % dans une activité adaptée depuis juillet 2006, cette dernière étant motivée par des limitations fonctionnelles objectivables au poignet et à la main gauches ainsi que dans le bas du dos (douleur lombaire L5-S1 gauche influençant les mouvements de flexion du rachis). A cet égard, le Tribunal de céans constate que le rapport de la réadaptation professionnelle du 11 juillet 2006 indique cependant que la recourante a interrompu le 10 mai 2006 son stage débuté le 13 février 2006, sur la base d'un certificat médical non motivé de son médecin-traitant, le Dr B_________, qu'elle s'est elle- même estimée incapable de reprendre une activité et que le 20 juin 2006 elle a été finalement mise en arrêt de travail total par son médecin-psychiatre, le Dr L_________, de sorte que le seul élément qui, vraisemblablement, était susceptible de s'être modifié concernait la composante psychique et que la recourante ne pouvait mentalement accepter l'idée de retravailler. Il apparaît ainsi que l'échec de l'augmentation de taux d'activité de 50 à 75 % auquel se réfère le Dr R________ est en réalité fondé principalement sur des motifs psychiques, plus que physiques, de sorte que l'on peut se demander si la date de juillet 2006 à laquelle l'expert se réfère pour limiter la capacité de travail à 50 % est légitime. Cependant, tel est le cas à la lecture du rapport d'évaluation de la fondation PRO du</w:t>
      </w:r>
    </w:p>
    <w:p>
      <w:r>
        <w:rPr>
          <w:b/>
        </w:rPr>
        <w:t>E. 14</w:t>
      </w:r>
    </w:p>
    <w:p>
      <w:r>
        <w:t>août 2006, lequel constate que plus le stage avance plus la recourante a de la peine à l'assumer en raison des douleurs, que ses aptitudes manuelles se péjorent, notamment la mobilité du bras et de la main gauches qui ne lui permettent que de faire de la petite manutention, que les mouvements doivent être petits, sur le devant, variés et sans port de charges, qu'elle a également mal au dos, travaillant de façon plutôt assise avec des pauses pour marcher ou se coucher. Ainsi, il apparaît que les limitations fonctionnelles constatées par le Dr R________ au poignet et à la main gauches ainsi qu'au dos (lombalgies chroniques influençant les mouvements de flexion du rachis) étaient déjà présents lors du stage de réentraînement au travail, de</w:t>
      </w:r>
    </w:p>
    <w:p>
      <w:r>
        <w:t>A/2646/2007 - 22/24 - sorte que l'on peut confirmer la date du stage comme survenance de la diminution de la capacité de travail de la recourante de 100 à 50 % dans une activité adaptée, pour des raisons somatiques. S'agissant de la date précise à laquelle il convient d'admettre cette diminution de la capacité de travail, il ressort du rapport de la fondation PRO que le rendement de l'assurée a considérablement diminué au cours du stage, de 80 % durant les premières semaines, il est passé à 20 % durant les dernières semaines et qu'à la mi- mars, la recourante se plaignait beaucoup et avait été absente quelques jours en raison des douleurs. Ainsi, la capacité de travail de 100 % dans une activité adaptée présente depuis le 1er novembre 2003, a-t-elle diminué à 50 % depuis, à tout le moins, la date du 15 mars 2006. c) S'agissant de l'aspect psychiatrique, le Dr Q________ a retenu les diagnostics de syndrome douloureux somatoforme persistant et d'état dépressif léger (sans syndrome somatique). Il a par ailleurs clairement répondu aux questions permettant de déterminer le caractère invalidant d'un syndrome douloureux somatoforme, de telle sorte que le Tribunal de céans est à même d'appliquer la jurisprudence fédérale précitée afin de déterminer si, en l'espèce, l'on peut exiger de la recourante qu'elle réintègre et, cas échéant à quel taux, le processus de travail (ATF 131 V 49). A cet égard, le Dr Q________ a estimé que le trouble dépressif de gravité légère ne pouvait être considéré comme une comorbidité autonome mais qu'il était à l'évidence réactif au syndrome douloureux chronique. Il n'existe ainsi pas de comorbidité psychiatrique importante. S'agissant des autres critères, il y a lieu de constater que ceux qui sont présents chez la recourante ne se manifestent pas avec un degré tel que l'on puisse admettre que les ressources psychiques de l'assurée sont limitées et ne lui permettraient plus de surmonter son état, au sens de la jurisprudence précitée. En effet, le Dr Q________ a expliqué qu'il n'existait pas de perte d'intégration sociale dans toutes les manifestations de la vie, même si la recourante avait tendance à se replier sur elle-même, que l'on ne pouvait admettre un état psychique cristallisé même si celui-ci n'était pas susceptible d'évoluer favorablement au plan thérapeutique. En revanche, les experts ont constaté l'échec de tous les traitements conformes aux règles de l'art, ainsi que la présence d'affections corporelles chroniques et un processus maladif s'étendant sur plusieurs années, sans rémission durable, soit les affections du membre supérieur gauche et du bas du dos. Enfin, les experts ont tous deux relevé que la recourante présentait une tendance à l'exagération de la plainte ainsi qu'une attitude démonstrative et qu'il existait une discordance entre ses plaintes et les constatations objectives. Au vu de ce qui précède, l'on ne saurait retenir, sur la base des deux critères précités et en application de la jurisprudence restrictive du Tribunal fédéral, que la recourante réunit en sa personne suffisamment de critères et de façon assez marquée qui fonderaient un pronostic défavorable en ce qui concerne l'exigibilité</w:t>
      </w:r>
    </w:p>
    <w:p>
      <w:r>
        <w:t>A/2646/2007 - 23/24 - d'une reprise d'activité professionnelle, d'un point de vue psychique. Il apparaît ainsi que le syndrome somatoforme douloureux chronique ne se manifeste pas avec une telle sévérité que, d'un point de vue objectif, seule une mise en valeur limitée de la capacité de travail puisse en raison de cette affection être raisonnablement exigée d'elle. d) En conséquence, le Tribunal de céans confirmera la conclusion de l'appréciation consensuelle du cas faite par les experts, lesquels retiennent une capacité de travail exigible de 50 %, en précisant que cette limitation relève de la problématique somatique, le caractère invalidant du trouble somatoforme ne pouvant être admis. Par ailleurs, cette limitation doit être admise depuis le 15 mars 2006 comme expliqué ci-dessus. Il y a ainsi lieu de constater que la recourante présente une incapacité de travail totale admise par l'intimé du 8 novembre 2002 au 31 octobre 2003 puis, une capacité de travail totale dans une activité adaptée depuis le 1er novembre 2003, et enfin, une capacité de travail de 50 % dans une activité adaptée depuis le 15 mars 2006. 10. Il incombera ainsi à l'intimé de rendre une nouvelle décision, tenant compte de l'incapacité de travail précitée de la recourante. Le recours sera donc partiellement admis, la décision litigieuse annulée et la cause renvoyée à l'intimé pour nouvelle décision au sens des considérants. 11.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mis à la charge de l'intimé et une indemnité de 1'500 fr. allouée à la recourante, à charge de l'intimé.</w:t>
      </w:r>
    </w:p>
    <w:p>
      <w:r>
        <w:t>A/2646/2007 - 24/24 -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