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ATAS/29/2026 vom 20. Januar 2026</w:t>
      </w:r>
    </w:p>
    <w:p>
      <w:r>
        <w:t>GE Cour de justice, 2026-01-20, FR</w:t>
      </w:r>
    </w:p>
    <w:p>
      <w:r>
        <w:rPr>
          <w:b/>
        </w:rPr>
        <w:t xml:space="preserve">Quelle: </w:t>
      </w:r>
      <w:r>
        <w:t>https://mcp.opencaselaw.ch/entscheid/ge_gerichte_ATAS_29_2026</w:t>
      </w:r>
    </w:p>
    <w:p>
      <w:r>
        <w:t>FR: GE_GERICHTE ATAS/29/2026 du 20 janvier 2026</w:t>
      </w:r>
    </w:p>
    <w:p>
      <w:r>
        <w:t>IT: GE_GERICHTE ATAS/29/2026 del 20 gennaio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t>A/1823/2023 - 8/17 -</w:t>
      </w:r>
    </w:p>
    <w:p>
      <w:r>
        <w:rPr>
          <w:b/>
        </w:rPr>
        <w:t>E. 1.3</w:t>
      </w:r>
    </w:p>
    <w:p>
      <w:r>
        <w:t>Interjeté dans la forme et le délai de 30 jours prévus par la loi, le recours est recevable (art. 60 al. 1 et 61 let. b LPGA ; art. 62 al. 1 let. a, 89A et 89B de la loi sur la procédure administrative du 12 septembre 1985 - LPA - E 5 10).</w:t>
      </w:r>
    </w:p>
    <w:p>
      <w:r>
        <w:rPr>
          <w:b/>
        </w:rPr>
        <w:t>E. 2</w:t>
      </w:r>
    </w:p>
    <w:p>
      <w:r>
        <w:t>Le litige porte sur le droit du recourant à des prestations au-delà du 18 octobre 2022.</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 Aux termes de l’al. 2 dudit article, l’assurance alloue aussi ses prestations pour les lésions corporelles suivantes, pour autant qu’elles ne soient pas dues de manière prépondérante à l’usure ou à une maladie : a. les fractures ; b. les déboîtements d’articulations ; c. les déchirures du ménisque ; d. les déchirures de muscles ; e. les élongations de muscles ; f. les déchirures de tendons ; g. les lésions de ligaments ; h. les lésions du tympan. 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 3.2 et la référence ; 129 V 402 consid. 2.2 et les références).</w:t>
      </w:r>
    </w:p>
    <w:p>
      <w:r>
        <w:rPr>
          <w:b/>
        </w:rPr>
        <w:t>E. 3.2</w:t>
      </w:r>
    </w:p>
    <w:p>
      <w:r>
        <w:t>Dans un arrêt 8C_22/2019 du 24 septembre 2019 (publié aux ATF 146 V 51), le Tribunal fédéral a examiné les répercussions de la modification législative relative aux lésions corporelles assimilées à un accident. Il s'est notamment penché sur la question de savoir quelle disposition était désormais applicable lorsque l'assureur-accidents avait admis l'existence d'un accident au sens de l'art. 4 LPGA et que l'assuré souffrait d'une lésion corporelle au sens de l'art. 6 al. 2 LAA. Le Tribunal fédéral a admis que dans cette hypothèse, l'assureur-accidents devait prendre en charge les suites de la lésion en cause sur la base de l'art. 6 al. 1 LAA ; en revanche, en l'absence d'un accident au sens juridique, le cas devait être examiné sous l'angle de l'art. 6 al. 2 LAA (ATF 146 V 51 consid. 9.1 ; arrêt du</w:t>
      </w:r>
    </w:p>
    <w:p>
      <w:r>
        <w:t>A/1823/2023 - 9/17 - Tribunal fédéral 8C_520 du 3 mai 2021 consid. 5.1 ; résumé dans la RSAS 1/2020 p. 33 ss. ; arrêt du Tribunal fédéral 8C_169/2019 du 10 mars 2020 consid. 5.2).</w:t>
      </w:r>
    </w:p>
    <w:p>
      <w:r>
        <w:rPr>
          <w:b/>
        </w:rPr>
        <w:t>E. 3.3</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w:t>
      </w:r>
    </w:p>
    <w:p>
      <w:r>
        <w:t>A/1823/2023 - 10/17 - fardeau de la preuve de la disparition du lien de causalité appartient à la partie qui invoque la suppression du droit (ATF 146 V 51 précité consid. 5.1 et les références ; arrêt du Tribunal fédéral 8C_606/2021 du 5 juillet 2022 consid. 3.2).</w:t>
      </w:r>
    </w:p>
    <w:p>
      <w:r>
        <w:rPr>
          <w:b/>
        </w:rPr>
        <w:t>E. 3.4</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w:t>
      </w:r>
    </w:p>
    <w:p>
      <w:r>
        <w:rPr>
          <w:b/>
        </w:rPr>
        <w:t>E. 3.5</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compte de personnes saines tant sur le plan psychique que physique, mais également en tenant compte de personnes avec une prédisposition constitutionnelle (ATF 115 V 403 consid. 4b).</w:t>
      </w:r>
    </w:p>
    <w:p>
      <w:r>
        <w:rPr>
          <w:b/>
        </w:rPr>
        <w:t>E. 4.1</w:t>
      </w:r>
    </w:p>
    <w:p>
      <w:r>
        <w:t>; 143 V 148 consid. 3.1.1 ; 134 V 109 consid. 4.1 et les références). L’art. 19 al. 1 LAA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w:t>
      </w:r>
    </w:p>
    <w:p>
      <w:r>
        <w:rPr>
          <w:b/>
        </w:rPr>
        <w:t>E. 4.2</w:t>
      </w:r>
    </w:p>
    <w:p>
      <w:r>
        <w:t>Dès qu’il n’y a plus lieu d’attendre de la continuation du traitement médical une « sensible amélioration de l’état de santé de l’assuré » (sur cette notion : cf. ci-après : consid. 5.2.2)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w:t>
      </w:r>
    </w:p>
    <w:p>
      <w:r>
        <w:rPr>
          <w:b/>
        </w:rPr>
        <w:t>E. 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5.1</w:t>
      </w:r>
    </w:p>
    <w:p>
      <w:r>
        <w:t>; 133 V 450 consid. 11.1.3 ; 125 V 351 consid. 3).</w:t>
      </w:r>
    </w:p>
    <w:p>
      <w:r>
        <w:t>A/1823/2023 - 12/17 -</w:t>
      </w:r>
    </w:p>
    <w:p>
      <w:r>
        <w:rPr>
          <w:b/>
        </w:rPr>
        <w:t>E. 6.1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w:t>
      </w:r>
    </w:p>
    <w:p>
      <w:r>
        <w:rPr>
          <w:b/>
        </w:rPr>
        <w:t>E. 6.2</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6.3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6.4</w:t>
      </w:r>
    </w:p>
    <w:p>
      <w:r>
        <w:t>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6.5</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w:t>
      </w:r>
    </w:p>
    <w:p>
      <w:r>
        <w:t>A/1823/2023 - 13/17 -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8</w:t>
      </w:r>
    </w:p>
    <w:p>
      <w:r>
        <w:t>Dans le contexte de la suppression du droit à des prestations d'assurance sociales, le fardeau de la preuve incombe en principe à l'assureur-accidents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(ATF 142 V 435 consid. 1), et doivent ainsi être considérées comme ayant disparu (arrêt du Tribunal fédéral 8C_343/2022 du 11 octobre 2022 consid. 3.2 et les références).</w:t>
      </w:r>
    </w:p>
    <w:p>
      <w:r>
        <w:rPr>
          <w:b/>
        </w:rPr>
        <w:t>E. 9</w:t>
      </w:r>
    </w:p>
    <w:p>
      <w:r>
        <w:t>En l'espèce, l'intimée a supprimé le droit aux prestations d'assurance qui avaient été accordées au recourant à la suite de l'accident du 9 mai 2022, estimant que les atteintes n'étaient plus en lien avec le sinistre au-delà du 18 octobre 2022. Elle justifie sa position en s'appuyant sur les appréciations de son médecin</w:t>
      </w:r>
    </w:p>
    <w:p>
      <w:r>
        <w:t>A/1823/2023 - 14/17 - d’assurance, le Dr D______, des 29 juin et 17 octobre 2022, 15 mars 2023 ainsi que les 29 août et 18 novembre 2025. Le recourant conteste que les effets de l’accident aient pris fin au 18 octobre 2022 et sollicite dès lors le versement des prestations d’assurances dues.</w:t>
      </w:r>
    </w:p>
    <w:p>
      <w:r>
        <w:rPr>
          <w:b/>
        </w:rPr>
        <w:t>E. 10</w:t>
      </w:r>
    </w:p>
    <w:p>
      <w:r>
        <w:t>Il convient donc d’examiner la valeur probante des rapports médicaux au dossier, en particulier du rapport d’expertise du Dr G______ et de son complément ainsi que des appréciations du Dr D______. Il sera relevé que, par ordonnance du 18 février 2025, la Cour de céans a d’ores et déjà considéré que les appréciations du Dr D______ des 29 juin et 17 octobre 2022 ainsi que du 15 mars 2023 étaient insuffisantes pour trancher la présente affaire, raison pour laquelle une expertise judiciaire a été ordonnée. S’agissant du rapport d’expertise et de son complément, le recourant conclut à sa pleine valeur probante alors que l’intimée la conteste. La Cour de céans observe que le rapport d’expertise du Dr G______ repose sur l’intégralité du dossier médical du recourant, dont les plaintes ont été prises en considération. L’expert a procédé à un examen clinique complet dans son domaine de spécialisation et s’est livré à une analyse minutieuse du cas. Il a justifié son appréciation, en particulier lorsqu’il s’est écarté des conclusions d’autres médecins, et ce sur toutes les questions litigieuses, en particulier sur le lien de causalité. Il a présenté des conclusions claires, cohérentes et argumentées. Sur la base de son analyse, il a retenu que, bien que des éléments dégénératifs aient été constatés à l’IRM, les ruptures transfixiantes et la subluxation du biceps sont d’origine traumatiques, étant précisé que les atteintes du recourant, soit les déchirures des tendons, la lésion ligamentaire et l’élongation musculaire, correspondent à une lésion corporelle relevant de l’art. 6 al. 2 LAA. Les remarques de l’intimée et de son médecin d’assurance ont été soumises à l’expert, ce qui a conduit au complément du 7 novembre 2025. Dans ce dernier, le Dr G______ répond aux remarques de l’intimée. Il explique la méthodologie appliquée pour réaliser son expertise. Il relève notamment que les observations de l’intimée sont dénuées d’argumentation scientifique et de références. Il explique que ses conclusions sont fondées sur le principe de la vraisemblance prépondérante et s’appuient sur le mécanisme de l’accident, la symptomatologie immédiate, l’imagerie, l’évolution postopératoire et l’absence d’antécédents douloureux ou fonctionnels significatifs avant l’accident. Pour l’expert, l’intimée se limite à faire part d’une appréciation divergente. S’agissant du mécanisme lésionnel, il retient que les différences entre les rapports sont rédactionnelles, mais que l’essence est identique. Les comorbidités ont par ailleurs été discutées dans le rapport d’expertise. L’expert note que le terme « atteinte antérieure » se rapporte à la localisation anatomique de la lésion. Pour lui, la non- reconnaissance de cette lésion interroge sur la rigueur de l’analyse médicale du Dr D______. En ce qui concerne la pseudo-paralysie, il développe que sa définition a</w:t>
      </w:r>
    </w:p>
    <w:p>
      <w:r>
        <w:t>A/1823/2023 - 15/17 - beaucoup évolué et reste très controversée. Selon les explications de l’expert, elle se caractérise par la perte de mobilité active décrite dans les rapports et admise par le Dr D______. Il relève ainsi que le rapport initial mentionne une « limitation fonctionnelle sévère », ce qui peut correspondre à la définition de pseudo- paralysie. Il s’est par ailleurs appuyé sur de très nombreuses publications scientifiques et non pas sur une seule référence. Il relevait que dans son écriture du 15 novembre 2024, l’intimée avait indiqué ne pas voir de motif de récusation à son encontre. Il soulignait notamment être classé par le site indépendant J______ comme premier expert mondial de la chirurgie de l’épaule. Son activité académique comprenait plus de 335 publications scientifiques. En conclusion, il persistait dans son rapport d’expertise. Dans ses observations du 3 décembre 2025, l’intimée, se basant sur les points soulevés par le Dr D______ dans son avis du 18 novembre 2025, a reproché en substance à l’expertise et à son complément de ne pas tenir compte des renseignements fournis par le Dr I______, des antécédents du recourant et d’avoir retenu une pseudo-paralysie immédiate alors que le document cité évoque une limitation fonctionnelle sans noter une pseudo-paralysie. Le Dr D______ estimait que l’appréciation de l’expert résultait de la maxime « post hoc, ergo propter hoc » en l’absence de signes d’atteinte aiguë à l’imagerie mais en présence de signes d’atteinte chronique. La Cour de céans constate que, contrairement aux allégations de l’intimée, l’expert s’est déjà prononcé sur les remarques quant à la pseudo-paralysie. S’agissant des précisions du Dr I______, elles sont discutées dans le rapport d’expertise. Quant aux antécédents, le Dr D______ se base sur les conclusions de l’IRM réalisée après l’accident et sur la mention par la Dre E______ du 2 août 2022 « d’antécédents de vague douleurs non invalidantes ». Or, dans le rapport d’expertise, le Dr G______ retient qu’il n’y a pas d’antécédents significatifs avant l’accident, de sorte qu’il apparaît qu’il a bel et bien tenu compte de l’intégralité des éléments au dossier pour se prononcer. S’agissant des propos relevant de l’impartialité de l’expert, il sera relevé que l’intimée elle-même a indiqué ne pas avoir de motif de récusation au moment de la désignation de l’expert. Par ailleurs, ce dernier a apporté des précisions sur ses compétences et qualifications, éléments non remis en cause par l’intimée. Au vu de ce qui précède, il n’existe aucun élément permettant de douter du bien- fondé des conclusions de l’expertise judiciaire du Dr G______, circonstanciées et bien motivées. La Cour de céans considère dès lors qu’elle remplit les prérequis jurisprudentiels pour se voir reconnaître pleine valeur probante. Par conséquent, le recours doit être admis, la décision querellée annulée et il sera dit que l’intimée doit prendre en charge les suites de l’accident au-delà du 18 octobre 2022.</w:t>
      </w:r>
    </w:p>
    <w:p>
      <w:r>
        <w:t>A/1823/2023 - 16/17 - La Cour de céans retient par ailleurs que, compte tenu des éléments précités, l’intimée a diligenté une instruction présentant des lacunes ou des insuffisances caractérisées. Les frais de l’expertise judiciaire de CHF 6’000.-, selon la facture du 26 mai 2025 du Dr G______, sont donc mis à la charge de l’intimée.</w:t>
      </w:r>
    </w:p>
    <w:p>
      <w:r>
        <w:rPr>
          <w:b/>
        </w:rPr>
        <w:t>E. 11</w:t>
      </w:r>
    </w:p>
    <w:p>
      <w:r>
        <w:t>Le recourant obtenant gain de cause, une indemnité de CHF 3'500.-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w:t>
      </w:r>
    </w:p>
    <w:p>
      <w:r>
        <w:t>A/1823/2023 - 17/17 -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