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ATAS/29/2015 vom 19. Januar 2015</w:t>
      </w:r>
    </w:p>
    <w:p>
      <w:r>
        <w:t>GE Cour de justice, 2015-01-19, FR</w:t>
      </w:r>
    </w:p>
    <w:p>
      <w:r>
        <w:rPr>
          <w:b/>
        </w:rPr>
        <w:t xml:space="preserve">Quelle: </w:t>
      </w:r>
      <w:r>
        <w:t>https://mcp.opencaselaw.ch/entscheid/ge_gerichte_ATAS_29_2015</w:t>
      </w:r>
    </w:p>
    <w:p>
      <w:r>
        <w:t>FR: GE_GERICHTE ATAS/29/2015 du 19 janvier 2015</w:t>
      </w:r>
    </w:p>
    <w:p>
      <w:r>
        <w:t>IT: GE_GERICHTE ATAS/29/2015 del 19 gennaio 2015</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de la loi fédérale sur la prévoyance professionnelle, vieillesse, survivants et invalidité du 25 juin 1982 [LPP – RS 831.40]; art. 142 du Code civil du 10 décembre 1907 [CC – RS 210]). Sa compétence pour juger du cas d’espèce est ainsi établie.</w:t>
      </w:r>
    </w:p>
    <w:p>
      <w:r>
        <w:rPr>
          <w:b/>
        </w:rPr>
        <w:t>E. 2</w:t>
      </w:r>
    </w:p>
    <w:p>
      <w:r>
        <w:t>La recevabilité de la demande en paiement a été admise par arrêt de la chambre de céans du 4 juin 2013.</w:t>
      </w:r>
    </w:p>
    <w:p>
      <w:r>
        <w:rPr>
          <w:b/>
        </w:rPr>
        <w:t>E. 3</w:t>
      </w:r>
    </w:p>
    <w:p>
      <w:r>
        <w:t>Suite à l'arrêt du Tribunal fédéral du 25 février 2014, il est établi que l’incapacité de travail à l’origine de l’invalidité est survenue en janvier 2006 et que la demanderesse a droit à une rente d'invalidité au titre des prestations minimales obligatoires selon la LPP (art. 6 LPP). Est seul litigieux le droit à une rente d'invalidité plus élevée découlant de la prévoyance professionnelle plus étendue</w:t>
      </w:r>
    </w:p>
    <w:p>
      <w:r>
        <w:t>A/4413/2011 - 9/16 - (art. 49 al. 2 LPP), et en particulier la validité de la réserve émise par la défenderesse.</w:t>
      </w:r>
    </w:p>
    <w:p>
      <w:r>
        <w:rPr>
          <w:b/>
        </w:rPr>
        <w:t>E. 4</w:t>
      </w:r>
    </w:p>
    <w:p>
      <w:r>
        <w:t>a. L'art. 23 let. a LPP (en vigueur depuis le 1er janvier 2005) dispose qu'ont droit à des prestations d'invalidité les personnes qui sont invalides à raison de 40 % au moins au sens de l'AI, et qui étaient assurées lorsqu'est survenue l'incapacité de travail dont la cause est à l'origine de l'invalidité. L’art. 24 al. 1 let. a LPP prévoit que l’assuré a droit à une rente entière s'il est invalide à raison 70 % au moins au sens de l'AI. b. Dans la prévoyance professionnelle obligatoire, la notion d'invalidité est la même que dans l'assurance-invalidité. Conformément à l'art. 26 al. 1 LPP, les dispositions de la LAI (art. 29 LAI) s'appliquent par analogie à la naissance du droit aux prestations d'invalidité. D’après l’art. 29 al. 1 LAI, en vigueur jusqu’au 31 décembre 2007, le droit à la rente au sens de l’art. 28 prend naissance au plus tôt à la date dès laquelle l’assuré a présenté, en moyenne, une incapacité de travail de 40 % au moins pendant une année sans interruption notable.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Le Tribunal fédéral des assurances a jugé que ces principes valent également sous l'empire de la LPGA entrée en vigueur le 1er janvier 2003.</w:t>
      </w:r>
    </w:p>
    <w:p>
      <w:r>
        <w:t>c. En l'espèce, il a été jugé par le Tribunal fédéral que l'incapacité de travail durable et à l'origine de l'invalidité avait débuté en janvier 2006, moment auquel la demanderesse est devenue totalement incapable de travailler. D'ailleurs, la décision de l'OAI retient que la demanderesse a droit à une rente entière d'invalidité dès le 1er janvier 2007, après un délai de carence d'un an. Ainsi, la demanderesse peut prétendre à une rente entière d'invalidité (minimale LPP) dès le 1er janvier 2007, conformément à ses conclusions initiales du 21 décembre 2011 et non pas seulement dès le 1er avril 2007, étant précisé que le dépôt tardif de la demande de prestations à l’OAI n’a pas d’influence sur l’exigibilité de la rente d’invalidité de la prévoyance professionnelle obligatoire (cf. ATF 132 V 159 consid. 4). Au surplus, la défenderesse ne fait pas valoir que d'autres conditions du droit à la rente obligatoire ne seraient pas remplies.</w:t>
      </w:r>
    </w:p>
    <w:p>
      <w:r>
        <w:rPr>
          <w:b/>
        </w:rPr>
        <w:t>E. 5</w:t>
      </w:r>
    </w:p>
    <w:p>
      <w:r>
        <w:t>a. Dans les limites de la LPP, les institutions de prévoyance sont libres d'adopter le régime de prestations, le mode de financement et l'organisation qui leur conviennent (art. 49 al. 1 LPP). En ce qui concerne la prévoyance plus étendue, elles doivent tenir compte des dispositions de la LPP expressément réservées à l'art. 49 al. 2 LPP. Les institutions de prévoyance doivent également se conformer</w:t>
      </w:r>
    </w:p>
    <w:p>
      <w:r>
        <w:t>A/4413/2011 - 10/16 - aux principes de l'égalité de traitement, de l'interdiction de l'arbitraire et de la proportionnalité (ATF 115 V 103 consid. 4b). Elles sont notamment habilitées à restreindre la protection conférée par la couverture d'assurance en instaurant une réserve pour raisons de santé (aux conditions posées par l'art. 14 LFLP, qui ne sont pas déterminantes en l'espèce). Selon l'art. 331c CO, les institutions de prévoyance peuvent faire des réserves pour raisons de santé en relation avec les risques d'invalidité et de décès. La durée de ces réserves est de cinq ans au plus (arrêt du Tribunal fédéral 9C_810/2011 du 4 juin 2012 consid. 3.1). Une réserve pour raisons de santé est une restriction individuelle, concrète et limitée dans le temps de la couverture d'assurance dans un cas particulier (ATF 127 III 235 consid. 2c). La réserve doit donc être formulée de façon explicite, indiquer la période durant laquelle elle s'applique et être communiquée à l'assuré au moment de son entrée dans l'institution de prévoyance (arrêt du Tribunal fédéral des assurances B 110/01 du 24 novembre 2003 consid. 4.3, in SVR 2004 BVG n° 13 p. 40). La question de l’accord de l’assuré ou encore de sa signature n’a aucune incidence, car l’instauration en tant que telle d’une réserve pour raisons de santé par l’institution de prévoyance n’est pas soumise à acceptation (arrêts du Tribunal fédéral 9C_810/2011 du 4 juin 2012 consid. 4.2.2 et 9C_838/2008 du 15 septembre 2009 consid. 5.2). Elle ne déploie ses effets qu'au moment où le cas d'assurance survient et qu'il en résulte un devoir pour l'assureur d'allouer des prestations. L'assureur est délié de son obligation de prester dans la mesure du risque réservé (arrêt du Tribunal fédéral 9C_104/2007 du 20 août 2007 consid. 6.3.1., in SVR 2008 BVG n° 18 p. 69). Le Tribunal fédéral a jugé que l'art. 331c CO, et donc la possibilité d'émettre une réserve pour raisons de santé, ne vaut que pour les réserves que l'institution de prévoyance a émises lors de l'entrée de l'assuré dans l'institution de prévoyance (ATF 130 V 9 consid. 4.4.; cf. aussi, Hermann Walser, LPP et LFLP, 2010, ad art. 14 LFLP, n° 10 p. 1541). Il a considéré que lorsque l'assuré viole son devoir de renseigner et que l'institution de prévoyance l'apprend après coup, elle ne peut corriger la situation qu'en se départissant du contrat de prévoyance (ATF 130 V 9 consid. 5.1). Pour ce motif, une réserve émise plus d'un an après l'affiliation d'un assuré n'est pas valable, car elle a précisément été formulée bien après la phase d'admission (arrêt du Tribunal fédéral 8C_810/2011 du 4 juin 2012). Dans cette phase d'admission, l'institution de prévoyance est en droit, conformément à ses dispositions internes, de formuler une réserve sans devoir respecter des délais péremptoires et de ne pas accorder la couverture d'assurance avant d'en donner confirmation à l'assuré, car on ne peut pas poser des exigences trop sévères dans le domaine de la prévoyance professionnelle plus étendue, où il n'existe aucune obligation de contracter. Ainsi, une réserve formulée le 19 mai 2005, alors que la demande d'affiliation date du 7 avril 2005 et que l'institution a entre-temps demandé des renseignements au médecin de l'assuré, intervient dans un délai raisonnable (arrêt du Tribunal fédéral 9C_117/2007 du 16 mai 2008). La</w:t>
      </w:r>
    </w:p>
    <w:p>
      <w:r>
        <w:t>A/4413/2011 - 11/16 - communication de la réserve huit jours après réception du rapport du médecin traitant et deux mois après l'affiliation est conforme à la loi (arrêt du Tribunal fédéral des assurances B 94/05 du 6 novembre 2006). b. Selon l’art. 3 du règlement de la défenderesse, les salariés à assurer doivent remettre un certificat de santé. Sur la base de ce dernier, la défenderesse peut demander que les salariés se soumettent à un examen médical effectué par le médecin-conseil de la défenderesse, aux frais de cette dernière. Le médecin-conseil décide, sur la base des résultats de son examen, si l’affiliation à la défenderesse peut être effectuée avec ou sans réserve (al. 1). Si l’examen fait apparaitre qu’il existe un risque accru, la défenderesse peut, sur recommandation du médecin- conseil, émettre une réserve de santé pour les prestations risque, limitée à cinq ans à compter de l’entrée dans la caisse. Si un cas d’assurance survient pendant la durée de cette réserve et que ses causes sont en relation avec la réserve, les prestations risque versées par la caisse sont réduites de façon viagère aux prestations LPP (al. 2). Si un cas de prévoyance survient avant l’examen médical, la défenderesse est autorisée à limiter les prestations risque aux prestations minimales LPP dans la mesure où elles résultent d’une maladie ou de suites d’un accident dont le salarié souffrait déjà avant le début de ses rapports de travail ou pour lesquelles il avait déjà été sujet à des affections précédentes ainsi que pour des affections et déficiences existantes (al. 4). c. Le fardeau de la preuve de la notification d’un acte et de sa date incombe en principe à l’autorité qui entend en tirer une conséquence juridique (ATF 124 V 400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400 consid. 2a).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(cf. ATF 105 III 43 consid. 3 ; DTA 2000 n. 25 p. 121 consid. 1b, arrêt du Tribunal fédéral des assurances C 6/02 du 21 janvier 2003 consid. 3.2).</w:t>
      </w:r>
    </w:p>
    <w:p>
      <w:r>
        <w:rPr>
          <w:b/>
        </w:rPr>
        <w:t>E. 6</w:t>
      </w:r>
    </w:p>
    <w:p>
      <w:r>
        <w:t>du règlement de la défenderesse), montant qui est au demeurant admis par celle- ci.</w:t>
      </w:r>
    </w:p>
    <w:p>
      <w:r>
        <w:rPr>
          <w:b/>
        </w:rPr>
        <w:t>E. 7</w:t>
      </w:r>
    </w:p>
    <w:p>
      <w:r>
        <w:t>Il convient encore de se déterminer sur le début du droit à la rente et sur l’éventuelle indexation de celle-ci. a. D’après l’art. 14 al. 4 1ère phrase du règlement de la défenderesse, la rente d’invalidité commence lorsque l’incapacité de travail a duré 24 mois, mais au plus tôt à la fin du versement du salaire ou des éventuelles indemnités journalières de l’assurance perte de gain. Dans le domaine de la prévoyance professionnelle étendue, les institutions de prévoyance sont libres de régler la question de la naissance du droit aux prestations d’invalidité par des dispositions réglementaires dérogeant à l’art. 26 al. 1 LPP. Des délais d’attente réglementaires de trois ou 24 mois sont admissibles et fréquents en pratique. Les délais d’attente réglementaires dérogatoires sont autorisés non seulement dans le domaine de la prévoyance étendue mais également pour les solutions de prévoyance enveloppante. Pour ces dernières, le droit à la part de la rente d’invalidité LPP figurant au compte-témoin naît conformément aux règles de l’art. 26 al. 1 LPP (respectivement, des art. 26 al. 2 LPP et 26 OPP2) et le droit à la part des prestations étendues ne prend naissance qu’à l’expiration du délai réglementaire, qui peut être plus long (Marc Hürzeler, Commentaire LPP et LFLP, n. 4ss ad art. 26 LPP). Il sera précisé que lorsqu'une institution de prévoyance décide d'étendre la prévoyance au-delà des exigences minimales fixées dans la loi (prévoyance surobligatoire ou plus étendue), on parle alors d'institution de prévoyance « enveloppante » (ATF 140 V 145 consid. 3.1). b. En vertu de l’art. 31 du règlement de la défenderesse – reprenant en substance l’art. 36 al. 2 et 3 LPP, applicable par renvoi de l’art. 49 al. 2 let. 5 – une adaptation au renchérissement des rentes en cours est examinée chaque année par le conseil de fondation, compte tenu des possibilités financières de la caisse de pensions (al. 1). Les prestations LPP pour rentes de survivants et d’invalidité en versement depuis plus de trois ans sont, sur ordre du Conseil fédéral, adaptées à l’évolution des prix jusqu’à l’âge de la retraite. Dans chaque cas, l’adaptation au renchérissement est considérée comme acquittée lorsque et tant que les prestations selon le présent règlement dépassent les prestations LPP (al. 2). La caisse de pensions explique dans ses comptes annuels ou dans son rapport annuel les décisions de l’alinéa 1 (al. 3). L’art. 10 al. 11 du règlement de la défenderesse prévoit que si la situation financière le permet, les assurés qui ont droit aux prestations de vieillesse à partir du</w:t>
      </w:r>
    </w:p>
    <w:p>
      <w:r>
        <w:t>A/4413/2011 - 14/16 - 1er janvier 2005 se verront accorder un bonus en complément à leur rente de vieillesse. Le montant du bonus est fixé périodiquement par le conseil de fondation et peut être adapté chaque année au 1er janvier. L’art. 14 du règlement de prévoyance, portant sur la rente d’invalidité, ne comprend pas une telle disposition sur le bonus. Il résulte des comptes annuels de la défenderesse qu’en 2007, aucune adaptation au renchérissement n’avait été appliquée aux rentes courantes et qu’entre 2008 et 2013, les rentes versées pour la première fois avant 2005 n’étaient pas adaptées au renchérissement. En revanche, entre 2008 et 2013, le conseil de fondation avait décidé d’accorder un bonus entre 10 et 14% pour les nouvelles rentes versés entre le 1er janvier 2005 et le 31 décembre 2010.</w:t>
      </w:r>
    </w:p>
    <w:p>
      <w:r>
        <w:rPr>
          <w:b/>
        </w:rPr>
        <w:t>E. 8</w:t>
      </w:r>
    </w:p>
    <w:p>
      <w:r>
        <w:t>a. En l’occurrence, il est constant que la défenderesse est une institution de prévoyance « enveloppante », ce que celle-ci a d’ailleurs elle-même indiqué. Dès lors, conformément aux éléments précités et en particulier au règlement de prévoyance, le début du droit à la rente d’invalidité entière réglementaire doit être fixé au 1er janvier 2008, soit 24 mois après le début de l’incapacité de travail déterminante. Par ailleurs, si le conseil de fondation de la défenderesse a décidé, conformément aux comptes annuels, d’allouer un bonus entre 2008 et 2013 pour les nouvelles rentes de vieillesse versées entre 2005 et 2010, tel n’était pas le cas pour les rentes d’invalidité, qui n’avaient pas de part variable sous forme de bonus, ce qui résulte tant du règlement de prévoyance que des déclarations de la défenderesse. Une adaptation au renchérissement des rentes d’invalidité n’ayant pas été décidée par le conseil de fondation de la défenderesse, la rente annuelle réglementaire de la demanderesse ne peut pas être adaptée, de sorte qu’elle est de CHF 35'035.- par an dès le 1er janvier 2008. b. En revanche, la demanderesse a déjà droit à une rente d’invalidité LPP du 1er janvier au 31 décembre 2007. Dans la mesure où la demanderesse, née le 12 janvier 1981, avait seulement 24 ans en 2005, elle n’avait pas encore cotisé pour le cas vieillesse en 2005 (art. 7 al. 1 LPP). De plus, il est établi que le salaire AVS de l’assurée est de CHF 71'500.-, de sorte que son salaire coordonné 2005/2006 est de CHF 48'925.- (71'500 – 22'575 ; art. 8 al. 1 LPP et 5 OPP2). Partant, le calcul de la rente d’invalidité LPP se détermine de la manière suivante :</w:t>
      </w:r>
    </w:p>
    <w:p>
      <w:r>
        <w:t>A/4413/2011 - 15/16 -</w:t>
      </w:r>
    </w:p>
    <w:p>
      <w:r>
        <w:t>a) pas d’avoir de vieillesse en 2005 b) bonifications de vieillesse années 2006 à 2015 (48'925 x 7% x 10 [art. 16 LPP]) CHF 34'247.50 années 2016 à 2025 (48'925 x 10% x 10) CHF 48'925.- années 2026 à 2035 (48'925 x 15% x 10) CHF 73'387.50 années 2036 à 2044 (48'925 x 18% x 9) CHF 79'258.50 janvier 2045 (48'925 x 18% x 1/12) CHF 733.90 total – avoir de vieillesse déterminant CHF 236'552.40</w:t>
      </w:r>
    </w:p>
    <w:p>
      <w:r>
        <w:t>Il en résulte une rente annuelle pour l’année 2007 de CHF 16'086.- (236'552.40 x 6.8%), comme déterminé par la défenderesse.</w:t>
      </w:r>
    </w:p>
    <w:p>
      <w:r>
        <w:rPr>
          <w:b/>
        </w:rPr>
        <w:t>E. 9</w:t>
      </w:r>
    </w:p>
    <w:p>
      <w:r>
        <w:t>Pour ce qui est enfin des intérêts moratoires, la demanderesse en requiert le versement à un taux de 5% dès le 30 juin 2009 pour les rentes d’invalidité dues jusqu’au 30 novembre 2011. a. L’art. 105 al. 1 du code des obligations (CO) est applicable en matière de rente LPP, selon la jurisprudence du Tribunal fédéral (ATF 119 V 135 consid. 4c). Selon cette disposition, le débiteur en demeure pour le paiement d'intérêts, d'arrérages ou d'une somme dont il a fait donation, ne doit l'intérêt moratoire qu'à partir du jour de la poursuite ou de la demande en justice. A défaut de disposition réglementaire topique, le taux d'intérêt moratoire est de 5 % (art. 104 al. 1 CO; ATF 130 V 414, ATF 119 V 135 consid. 4d et ATF 115 V 37 consid. 8c). b. En l’espèce, en l’absence de disposition réglementaire portant sur les rentes, la défenderesse est tenue de verser à la demanderesse un intérêt moratoire de 5% sur le montant de CHF 153'306.40 (16'086.- [2007] + 35'035.- [2008] + 102'185.40 [2009, 2010 et jusqu’à novembre 2011]).</w:t>
      </w:r>
    </w:p>
    <w:p>
      <w:r>
        <w:rPr>
          <w:b/>
        </w:rPr>
        <w:t>E. 10</w:t>
      </w:r>
    </w:p>
    <w:p>
      <w:r>
        <w:t>La demande en paiement est donc partiellement admise.</w:t>
      </w:r>
    </w:p>
    <w:p>
      <w:r>
        <w:rPr>
          <w:b/>
        </w:rPr>
        <w:t>E. 11</w:t>
      </w:r>
    </w:p>
    <w:p>
      <w:r>
        <w:t>La demanderesse, qui obtient gain de cause, a droit à une indemnité à titre de participation à ses frais et dépens que la chambre de céans fixera en l'espèce à CHF 7'000.-, soit CHF 5'500.- pour l'activité déployée avant l'arrêt du 4 juin 2013, compte tenu du nombre d'audiences et d'écritures ainsi que de la complexité de l'affaire et de la pertinence des écritures produites, puis CHF 1’500.- pour l'activité déployée après le renvoi de la cause par le Tribunal fédéral (art. 89H al. 3 LPA).</w:t>
      </w:r>
    </w:p>
    <w:p>
      <w:r>
        <w:t>A/4413/2011 - 16/16 -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