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ATAS/299/2023 vom 3. Mai 2023</w:t>
      </w:r>
    </w:p>
    <w:p>
      <w:r>
        <w:t>GE Cour de justice, 2023-05-03, FR</w:t>
      </w:r>
    </w:p>
    <w:p>
      <w:r>
        <w:rPr>
          <w:b/>
        </w:rPr>
        <w:t xml:space="preserve">Quelle: </w:t>
      </w:r>
      <w:r>
        <w:t>https://mcp.opencaselaw.ch/entscheid/ge_gerichte_ATAS_299_2023</w:t>
      </w:r>
    </w:p>
    <w:p>
      <w:r>
        <w:t>FR: GE_GERICHTE ATAS/299/2023 du 3 mai 2023</w:t>
      </w:r>
    </w:p>
    <w:p>
      <w:r>
        <w:t>IT: GE_GERICHTE ATAS/299/2023 del 3 maggio 2023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A/1153/2023 ATAS/299/2023 COUR DE JUSTICE Chambre des assurances sociales Arrêt du 3 mai 2023 Chambre 3</w:t>
      </w:r>
    </w:p>
    <w:p>
      <w:r>
        <w:t>En la cause Monsieur A______ demandeur</w:t>
      </w:r>
    </w:p>
    <w:p>
      <w:r>
        <w:t>contre FONDATION DE PRÉVOYANCE DBS</w:t>
      </w:r>
    </w:p>
    <w:p>
      <w:r>
        <w:t>défenderesse</w:t>
      </w:r>
    </w:p>
    <w:p>
      <w:r>
        <w:t>A/1153/2023 - 2/2 - Vu la demande en paiement dirigée contre la FONDATION DE PREVOYANCE DBS déposée le 31 mars 20213 par Monsieur A______ , Vu la réponse du 25 avril 2023 de la FONDATION DE PREVOYANCE DBS, Vu le retrait de la demande intervenu par pli du 2 mai 2023,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 1. Prend acte du retrait de la demande.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