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ATAS/298/2026 vom 9. April 2026</w:t>
      </w:r>
    </w:p>
    <w:p>
      <w:r>
        <w:t>GE Cour de justice, 2026-04-09, FR</w:t>
      </w:r>
    </w:p>
    <w:p>
      <w:r>
        <w:rPr>
          <w:b/>
        </w:rPr>
        <w:t xml:space="preserve">Quelle: </w:t>
      </w:r>
      <w:r>
        <w:t>https://mcp.opencaselaw.ch/entscheid/ge_gerichte_ATAS_298_2026</w:t>
      </w:r>
    </w:p>
    <w:p>
      <w:r>
        <w:t>FR: GE_GERICHTE ATAS/298/2026 du 9 avril 2026</w:t>
      </w:r>
    </w:p>
    <w:p>
      <w:r>
        <w:t>IT: GE_GERICHTE ATAS/298/2026 del 9 aprile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1.4</w:t>
      </w:r>
    </w:p>
    <w:p>
      <w:r>
        <w:t>Interjeté dans la forme (art. 61 let. b LPGA) et le délai de trente jours prévus par la loi (art. 60 al. 1 LPGA), compte tenu de la suspension des délais du 7e jour avant Pâques au 7e jour après Pâques inclusivement (art. 38 al. 4 let. a LPGA et art. 89C let. a LPA), le recours est recevable.</w:t>
      </w:r>
    </w:p>
    <w:p>
      <w:r>
        <w:rPr>
          <w:b/>
        </w:rPr>
        <w:t>E. 2</w:t>
      </w:r>
    </w:p>
    <w:p>
      <w:r>
        <w:t>Le litige porte sur le droit du recourant à des prestations provisoires au-delà du 31 août 2024, voire à une rente d’invalidité, d’une part, sur le taux de l’IPAI à lui accorder, d’autre part.</w:t>
      </w:r>
    </w:p>
    <w:p>
      <w:r>
        <w:rPr>
          <w:b/>
        </w:rPr>
        <w:t>E. 3</w:t>
      </w:r>
    </w:p>
    <w:p>
      <w:r>
        <w:t>août 2020 consid. 5.2 cité dans David IONTA, op. cit., p. 316). Par ailleurs, la prescription d'antalgiques et de séances de physiothérapie est compatible avec un état stabilisé (arrêt du Tribunal fédéral 8C_93/2022 du 19 octobre 2022 consid. 4.2 cité dans David IONTA, op. cit., p. 316).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L’art. 19 al. 1 LAA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t>A/1578/2025 - 11/25 -</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t>A/1578/2025 - 9/25 -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3.2</w:t>
      </w:r>
    </w:p>
    <w:p>
      <w:r>
        <w:t>Les prestations suivantes sont notamment prévues en cas d'accident.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Il est précisé à l'art. 6 LPGA, première phrase,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À teneur de l'art. 18 al. 1 LAA, si l’assuré est invalide (art. 8 LPGA) à 10% au moins par suite d’un accident, il a droit à une rente d’invalidité, pour autant que l’accident soit survenu avant l’âge de référence. L'art. 8 LPGA précise qu'est réputée invalidité l'incapacité de gain totale ou partielle qui est présumée permanente ou de longue durée. Par ailleurs, aux termes de l'art. 24 LAA, si, par suite de l’accident, l’assuré souffre d’une atteinte importante et durable à son intégrité physique, mentale ou psychique, il a droit à une indemnité équitable pour atteinte à l’intégrité.</w:t>
      </w:r>
    </w:p>
    <w:p>
      <w:r>
        <w:rPr>
          <w:b/>
        </w:rPr>
        <w:t>E. 3.3</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L'amélioration de l'état de santé se détermine notamment en fonction de l'augmentation ou de la récupération probable de la capacité de travail réduite par l'accident (ATF 134 V 109 consid. 4.3).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qu'un traitement physiothérapeutique puisse éventuellement être bénéfique pour la personne assurée. Dans ce contexte, l'état de santé doit être évalué de manière prospective et non sur la base de constatations rétrospectives (arrêts du Tribunal fédéral 8C_799/2023 du 3 septembre 2024 consid. 3.3.1 et les</w:t>
      </w:r>
    </w:p>
    <w:p>
      <w:r>
        <w:t>A/1578/2025 - 10/25 - références ; 8C_642/2023 du 20 mars 2024 consid. 3.1.1 et la référence). Ainsi, des rapports médicaux établis postérieurement à l'examen de la stabilisation de l'état de santé ne sont pas pertinents (arrêt du Tribunal fédéral 8C_528/2022 du 17 novembre 2022 consid. 7.4, cité dans David IONTA, Stabilisation de l’état de santé en LAA, in HAVE/REAS 4/2023, p. 316). Les renseignements médicaux relatifs aux possibilités thérapeutiques et à l'évolution de la maladie, généralement saisis sous la notion de pronostic, constituent en premier lieu la base de l'appréciation de cette question juridique (arrêt du Tribunal fédéral 8C_682/2021 du 13 avril 2022 consid. 5.1 et les références). Il n'y a pas d'amélioration sensible de l'état de santé quand la mesure thérapeutique (par exemple une cure annuelle) ne fait que soulager momentanément des douleurs occasionnées par un état par ailleurs stationnaire ou qui ne sert non pas à guérir l'atteinte à la santé mais uniquement à combattre les symptômes (arrêt du Tribunal fédéral 8C_363/3030 du 29 septembre 2020 consid. 4.1 cité dans David IONTA, op. cit., p. 316). Le seul fait que la personne assurée ressente encore des douleurs ou souffre de douleurs chroniques ne permet pas de conclure que son état de santé n'est pas stabilisé (arrêt du Tribunal fédéral 8C_20/2022 du 10 juin 2022 consid. 6.3 cité dans David IONTA, op. cit., p. 316). Il en est de même lorsque le cas de l'assuré s'est chronicisé et qu'aucun geste médical ni chirurgical n'est susceptible d'apporter une quelconque amélioration de la situation et que des infiltrations ne permettent pas de changer de façon substantielle le pronostic du patient (arrêt du Tribunal fédéral 8C_484/2019 du</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4.1.1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A/1578/2025 - 12/25 -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4.1.2</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4.1.3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4.1.4</w:t>
      </w:r>
    </w:p>
    <w:p>
      <w:r>
        <w:t>Il appartient avant tout aux médecins, et non aux spécialistes de l'orientation professionnelle, de se prononcer sur la capacité de travail d'un assuré souffrant d'une atteinte à la santé et sur les éventuelles limitations résultant de celle-ci. Cependant, les organes d'observation professionnelle ont pour fonction de compléter les données médicales en examinant concrètement dans quelle mesure l'assuré est à même de mettre en valeur une capacité de travail et de gain sur le marché du travail. Au regard de la collaboration, étroite, réciproque et complémentaire entre les médecins et les organes d'observation professionnelle, on ne saurait toutefois dénier toute valeur aux renseignements d'ordre professionnel recueillis à l'occasion d'un stage pratique pour apprécier la capacité</w:t>
      </w:r>
    </w:p>
    <w:p>
      <w:r>
        <w:t>A/1578/2025 - 13/25 - résiduelle de travail de l'assuré. En effet, dans les cas où ces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 du Tribunal fédéral 8C_607/2024 du 18 août 2025 consid. 5.1.2 et les références).</w:t>
      </w:r>
    </w:p>
    <w:p>
      <w:r>
        <w:rPr>
          <w:b/>
        </w:rPr>
        <w:t>E. 4.2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En l’espèce, l'intimée, par la décision litigieuse, a mis fin à ses prestations provisoires (frais de traitement et indemnités journalières) au 31 août 2024, nié à l’assuré le droit à une rente d'invalidité et lui a reconnu le droit à une IPAI de 10%. L’intimée a justifié sa position en s'appuyant sur les appréciations émises les 12 mai 2023, 30 avril, 11 juin 2024 et 17 février 2025 par le Dr D______ et sur le rapport des médecins de la CRR du 24 avril 2024. Le recourant conteste les conclusions du médecin-conseil de l’intimée, faisant valoir principalement que sa capacité de travail est toujours nulle, ou, tout au plus, partielle. Il invoque l’avis de ses médecins traitants.</w:t>
      </w:r>
    </w:p>
    <w:p>
      <w:r>
        <w:rPr>
          <w:b/>
        </w:rPr>
        <w:t>E. 5.1</w:t>
      </w:r>
    </w:p>
    <w:p>
      <w:r>
        <w:t>Il s'agit donc d’examiner, dans un premier temps, si l'évaluation du Dr D______ peut se voir accorder une pleine valeur probante. Il convient à titre liminaire de relever que les conclusions de ce médecin ont été établies sur dossier uniquement. Cet élément ne remet pas en question la valeur probante de ses avis, pour autant que ceux-ci se fondent sur des rapports établis</w:t>
      </w:r>
    </w:p>
    <w:p>
      <w:r>
        <w:t>A/1578/2025 - 14/25 - suite à un examen clinique du recourant et qu'ils répondent aux réquisits jurisprudentiels en matière de valeur probante. Si le Dr D______ a établi des appréciations brèves, dépourvues de motivation – sous réserve de son rapport du 17 février 2025 relatif à l’IPAI –, on comprend qu’il se fonde essentiellement sur les conclusions des médecins de la CRR. Or, ceux-ci ont pu examiner le recourant durant son séjour du 28 février au 27 mars 2024, tant sur le plan médical que sur celui de la réadaptation professionnelle. Dans leur rapport, les médecins ont ainsi établi une anamnèse, résumé les examens pratiqués et rapporté les plaintes du recourant, ainsi que leurs propres observations et appréciations. Ils ont constaté un status post ténodèse du long chef du biceps et résection de la clavicule distale et n’ont posé aucun nouveau diagnostic. À noter que, dans leur rapport du 5 mai 2023 établi à la suite du premier séjour du recourant du 21 mars au 7 avril 2023, les médecins de la CRR avaient retenu une déchirure partielle du versant externe de l'insertion du tendon supra-épineux, une bursite sous acromiale, une arthropathie acromio-claviculaire et une lésion SLAP. Le Dr D______, qui se fonde sur l’appréciation des médecins de la CRR du 5 mai 2023, reconnaît que l’accident du 14 mars 2022 est à l’origine de la lésion SLAP et a rendu nécessaire l’opération du 6 juin 2023. Sur la question de la stabilisation de l’état de santé, le médecin-conseil estime que l’état du recourant peut être considéré comme stabilisé dès le 30 avril 2024. On relèvera que les médecins de la CRR indiquent dans leur rapport du 24 avril 2024 qu’aucune nouvelle intervention n’a été proposée et que des infiltrations ont été tentées, sans améliorer la situation. Le seul traitement mentionné consiste en antalgiques et séances de physiothérapie. À cet égard, on rappellera que, conformément à la jurisprudence fédérale en matière de stabilisation, la prescription d'antalgiques et de séances de physiothérapie est compatible avec un état stabilisé. Dans ces conditions, il paraît justifié de retenir que l’état de l’assuré était bel et bien stabilisé au 30 avril 2024. Concernant les limitations fonctionnelles, le Dr D______ reprend celles constatées par les médecins de la CRR, à savoir : éviter le port répété de charges supérieures à 5-10 kg, les mouvements répétitifs avec l'épaule droite et le maintien du membre supérieur droit au-dessus du plan horizontal. Quant à la capacité de travail, le médecin-conseil l’estime nulle dans l’activité habituelle de maçon, mais de 100% dans une activité adaptée auxdites limitations fonctionnelles. On relèvera que les médecins de la CRR ont retenu, sur le plan médical, un pronostic favorable de réinsertion dans une activité adaptée respectant les limitations fonctionnelles. S’agissant enfin de l’IPAI, si le Dr D______ n’a initialement pas retenu d’atteinte à l’intégrité justifiant une telle indemnité, il a finalement reconnu, dans son rapport motivé du 17 février 2025, une IPAI de 10% en faveur du recourant, en</w:t>
      </w:r>
    </w:p>
    <w:p>
      <w:r>
        <w:t>A/1578/2025 - 15/25 - raison de la périarthrite scapulo-humérale débutante mise en évidence, expliquant que cette atteinte était la conséquence d’une capsulite rétractile, visible à l’imagerie. Force est de constater que les conclusions du Dr D______, se fondant essentiellement sur les constatations et appréciations motivées des médecins de la CRR, sont convaincantes. Aussi, sous réserve d’éléments qui justifieraient de s’en écarter, elles doivent se voir reconnaître une pleine valeur probante.</w:t>
      </w:r>
    </w:p>
    <w:p>
      <w:r>
        <w:rPr>
          <w:b/>
        </w:rPr>
        <w:t>E. 5.2</w:t>
      </w:r>
    </w:p>
    <w:p>
      <w:r>
        <w:t>Pour contester la position du médecin-conseil, le recourant invoque les rapports de ses médecins traitants. En octobre 2024, le Dr C______ a simplement retenu, à titre de limitations fonctionnelles, une raideur post-traumatique de l’épaule droite, sans se prononcer sur la capacité de son patient à exercer une activité adaptée. En mars 2025, la Dre G______ a quant à elle énoncé des limitations fonctionnelles semblables à celles retenues par le Dr D______ et admis – tout comme lui – une capacité de travail de 100% dans une activité adaptée. Le Dr B______, qui a fait état des mêmes diagnostics que ceux retenus par le Dr D______, estime, lui, que l'état définitif ne serait pas encore atteint. Il explique qu’une fois la capsulite d'épaule disparue, un traitement de physiothérapie et d’ergothérapie visant une amélioration de l'état actuel pourrait toujours être envisageable. Or, comme souligné précédemment, un traitement composé de physiothérapie et d’ergothérapie est compatible avec un état stabilisé. Quant à l’évaluation par ce médecin des limitations fonctionnelles et de la capacité à exercer une activité adaptée, elle ne convainc pas la Cour de céans, dès lors que les spécialistes, tant médecins traitants que médecins-conseils, qui ont examinés le recourant, ont pour leur part admis la pleine capacité de l’assuré à exercer une activité adaptée. Les rapports produits par le recourant avec sa réplique ont été établis postérieurement à la décision litigieuse du 21 mars 2025 et font état d’éléments également postérieurs à cette décision. Ainsi, dans son rapport du 28 avril 2025, le Dr B______ indique que le recourant s’est plaint, lors d’une consultation du 15 avril 2025, d’un début de douleur à l’épaule gauche. Dans son rapport du 18 décembre 2025, ce médecin rapporte une aggravation de l’état du recourant, en raison de douleurs apparues à l’épaule gauche, qui serait dues à une sollicitation compensatoire. Un rapport d’IRM de l’épaule gauche du 18 novembre 2025, également versé à la procédure, met en évidence des atteintes débutantes. Il découle de ce qui précède que les troubles à l’épaules gauche sont postérieurs à la décision litigieuse. Le même constat peut être fait concernant les douleurs nucales et les troubles oculaires faisant l’objet du rapport des HUG du 11 décembre 2025. Quant aux docteurs H______ et K______, psychiatres, dans leurs rapports respectifs des 16 décembre 2025 et 7 janvier 2026, ils font état de troubles psychiques constatés, eux aussi, postérieurement à la décision litigieuse.</w:t>
      </w:r>
    </w:p>
    <w:p>
      <w:r>
        <w:t>A/1578/2025 - 16/25 - Or,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144 V 210 consid. 4.3.1 ; arrêt du Tribunal fédéral 8C_217/2019 du 5 août 2019 consid. 3). Dans la mesure où il n’appartient pas à la juridiction cantonale de statuer à la place de l’intimée sur ces nouveaux éléments médicaux, qui excèdent l’objet du litige, ceux-ci pourront être soumis à l’intimée par le recourant dans le cadre d’une nouvelle procédure, en respect du principe du double degré de juridiction.</w:t>
      </w:r>
    </w:p>
    <w:p>
      <w:r>
        <w:rPr>
          <w:b/>
        </w:rPr>
        <w:t>E. 5.3</w:t>
      </w:r>
    </w:p>
    <w:p>
      <w:r>
        <w:t>S’agissant ensuite du rapport d’observation professionnelle établi le 28 juin 2024 par E______, on soulignera qu’il appartient avant tout aux médecins, non aux spécialistes de l'orientation professionnelle, de se prononcer sur la capacité de travail et sur les éventuelles limitations résultant d'une atteinte à la santé. En outre, les médecins de la CRR ont eux aussi examiné concrètement dans quelle mesure le recourant était à même de mettre en valeur une capacité de travail et de gain sur le marché du travail et ont évalué la capacité à exercer une activité adaptée aux limitations fonctionnelles à 100%, ce qui a été confirmé par la Dre G______. Dès lors, le rapport d’observation professionnelle produit par le recourant ne suffit pas à jeter le doute sur les conclusions du Dr D______. Au demeurant, on relèvera que les résultats du volet orthopédique de l’expertise mise en œuvre par l’OAI et figurant au dossier de l’intimée confortent également la position du médecin-conseil de l’intimée. Compte tenu de ce qui précède, aucun élément ne justifie de s’écarter des conclusions du Dr D______.</w:t>
      </w:r>
    </w:p>
    <w:p>
      <w:r>
        <w:rPr>
          <w:b/>
        </w:rPr>
        <w:t>E. 6</w:t>
      </w:r>
    </w:p>
    <w:p>
      <w:r>
        <w:t>L'état de santé du recourant étant considéré comme stabilisé et sa capacité de travail résiduelle ayant été déterminée de manière probante par l'intimée, il s’agit à présent d’examiner le calcul du taux d'invalidité et celui de l’IPAI.</w:t>
      </w:r>
    </w:p>
    <w:p>
      <w:r>
        <w:rPr>
          <w:b/>
        </w:rPr>
        <w:t>E. 6.1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générale,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6.2</w:t>
      </w:r>
    </w:p>
    <w:p>
      <w:r>
        <w:t>Pour procéder à la comparaison des revenus, il convient de se placer au moment de la naissance du droit à la rente ; les revenus avec et sans invalidité</w:t>
      </w:r>
    </w:p>
    <w:p>
      <w:r>
        <w:t>A/1578/2025 - 17/25 -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6.3</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8C_732/2019 du 19 octobre 2020 consid. 3.2 et les références).</w:t>
      </w:r>
    </w:p>
    <w:p>
      <w:r>
        <w:rPr>
          <w:b/>
        </w:rPr>
        <w:t>E. 6.4</w:t>
      </w:r>
    </w:p>
    <w:p>
      <w:r>
        <w:t>Pour déterminer le revenu d'invalide de l'assuré, il faut en l'absence d'un revenu effectivement réalisé se référer aux données salariales, telles qu'elles résultent des ESS (ATF 126 V 75 consid. 3b).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le point de savoir si un assuré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8C_466/2015 du 26 avril 2016 consid. 3.2.2). L'évaluation de l’invalidité s'effectue en effet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Le revenu tiré d'activités simples et répétitives (niveau 1 dès l'ESS 2012) est une valeur statistique qui s'applique à tous les assurés qui ne peuvent plus accomplir leur ancienne activité parce qu'elle est physiquement trop astreignante pour leur état de santé, mais qui conservent néanmoins une capacité de travail</w:t>
      </w:r>
    </w:p>
    <w:p>
      <w:r>
        <w:t>A/1578/2025 - 18/25 - importante dans des travaux légers (arrêt du Tribunal fédéral 9C_692/2015 du 23 février 2016 consid. 3.1).</w:t>
      </w:r>
    </w:p>
    <w:p>
      <w:r>
        <w:rPr>
          <w:b/>
        </w:rPr>
        <w:t>E. 6.5</w:t>
      </w:r>
    </w:p>
    <w:p>
      <w:r>
        <w:t>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w:t>
      </w:r>
    </w:p>
    <w:p>
      <w:r>
        <w:rPr>
          <w:b/>
        </w:rPr>
        <w:t>E. 6.6</w:t>
      </w:r>
    </w:p>
    <w:p>
      <w:r>
        <w:t>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Les tableaux TA1, T1 et T17 de l’ESS 2020 ont été publiés le 23 août 2022 ; l’ESS 2018, le 21 avril 2020 ; l’ESS 2016, le 26 octobre 2018 (étant précisé que le tableau T1_tirage_skill_level a été corrigé le 8 novembre 2018) ; et l’ESS 2014, le 15 avril 2016. Dans un arrêt de principe, le Tribunal fédéral a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10ème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w:t>
      </w:r>
    </w:p>
    <w:p>
      <w:r>
        <w:t>A/1578/2025 - 19/25 -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6.7</w:t>
      </w:r>
    </w:p>
    <w:p>
      <w:r>
        <w:t>En règle générale, la comparaison des revenus des assurés exerçant une activité lucrative (art. 16 LPGA) doit être effectuée de manière à ce que les deux revenus hypothétiques provenant de l'activité lucrative (revenu de valide et revenu d'invalide) soient calculés le plus précisément possible et comparés l'un à l'autre, ce qui permet de déterminer le degré d'invalidité à partir de la différence de revenu. Toutefois, si le revenu de valide et le revenu d'invalide sont calculés à partir du même salaire statistique, il n'est pas nécessaire de les déterminer avec précision. Dans ce cas, le degré d'invalidité correspond en effet au degré d'incapacité de travail, compte tenu d'une éventuelle déduction du salaire fondé sur les statistiques, qui ne doit pas dépasser 25%. Il ne s’agit pas d’une « comparaison en pour-cent » au sens de l'ATF 114 V 310 consid. 3a, mais d’une simplification purement arithmétique (arrêt du Tribunal fédéral 8C_111/2023 du 12 octobre 2023 consid. 6.2 et les références).</w:t>
      </w:r>
    </w:p>
    <w:p>
      <w:r>
        <w:rPr>
          <w:b/>
        </w:rPr>
        <w:t>E. 6.8</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w:t>
      </w:r>
    </w:p>
    <w:p>
      <w:r>
        <w:t>A/1578/2025 - 20/25 -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w:t>
      </w:r>
    </w:p>
    <w:p>
      <w:r>
        <w:rPr>
          <w:b/>
        </w:rPr>
        <w:t>E. 6.9</w:t>
      </w:r>
    </w:p>
    <w:p>
      <w:r>
        <w:t>Le salaire fondé sur l’ESS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6.10</w:t>
      </w:r>
    </w:p>
    <w:p>
      <w:r>
        <w:t>La notion de marché équilibré du travail, au sens de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w:t>
      </w:r>
    </w:p>
    <w:p>
      <w:r>
        <w:t>A/1578/2025 - 21/25 - marché où les places de travail disponibles correspondent à l'offre de main d'œuvre (arrêt du Tribunal fédéral 9C_248/2018 du 19 septembre 2018 consid. 6.2 et les références). En d’autres termes,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du Tribunal fédéral 8C_772/2020 du 9 juillet 2021 consid. 3.3 et les références).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 du Tribunal fédéral 8C_772/2020 du 9 juillet 2021 consid. 3.3 et les références).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(ATF 148 V 174 consid. 9.1 et les références).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(arrêt du Tribunal fédéral 8C_772/2020 du 9 juillet 2021 consid. 3.3 et les références).</w:t>
      </w:r>
    </w:p>
    <w:p>
      <w:r>
        <w:rPr>
          <w:b/>
        </w:rPr>
        <w:t>E. 7</w:t>
      </w:r>
    </w:p>
    <w:p>
      <w:r>
        <w:t>En l’occurrence, le recourant conteste le revenu d’invalide retenu par l’intimée et le taux d’abattement de 5% appliqué sur celui-ci.</w:t>
      </w:r>
    </w:p>
    <w:p>
      <w:r>
        <w:rPr>
          <w:b/>
        </w:rPr>
        <w:t>E. 7.1</w:t>
      </w:r>
    </w:p>
    <w:p>
      <w:r>
        <w:t>Au préalable, on relèvera que le début de l’éventuel droit à la rente du recourant doit être fixé au moment de la stabilisation de l’état de santé du recourant, soit le 30 avril 2024, de sorte qu’il convient de procéder à la comparaison des revenus durant cette année-là. Cela étant, dès lors que l’intimée a volontairement continué le versement de ses prestations provisoires (frais de traitement et indemnités journalières) jusqu’au 31 août 2024, malgré la stabilisation de l’état de santé du recourant constatée par le Dr D______ (cf. appréciation du 30 avril 2024), le versement de la rente du recourant interviendrait au plus tôt le 1er septembre 2024.</w:t>
      </w:r>
    </w:p>
    <w:p>
      <w:r>
        <w:t>A/1578/2025 - 22/25 -</w:t>
      </w:r>
    </w:p>
    <w:p>
      <w:r>
        <w:rPr>
          <w:b/>
        </w:rPr>
        <w:t>E. 7.2</w:t>
      </w:r>
    </w:p>
    <w:p>
      <w:r>
        <w:t>S’agissant des revenus avant et après invalidité, l’intimée les a tous deux déterminés au moyen de l’ESS, ce qui ne prête pas le flanc à la critique, à tout le moins sur le principe, dès lors que le recourant était au chômage au moment de l’accident du 14 mars 2022 et qu’il n’a pas repris d’activité concrète depuis lors. Pour ces deux revenus, l’intimée s’est référée à l’ESS 2022, tableau TA1_tirage_skill_level, ligne « total », pour un homme, niveau de compétence 1, au motif que depuis sa venue en Suisse et jusqu’à l’accident, le recourant a exercé diverses activités professionnelles et, qu’à la suite de l’invalidité, une activité adaptée de niveau de compétence 1 selon l’ESS est exigible. En l’occurrence, le recourant ne critique pas cette manière de faire pour ce qui est du revenu d’invalide. Il conteste en revanche le revenu d’invalide tel que retenu par l’intimée, estimant que celui-ci aurait dû être évalué sur la base du revenu minimum appliqué à Genève. Ce grief doit être écarté, dès lors que, selon la jurisprudence constante du Tribunal fédéral susmentionnée, il convient, en l’absence de revenus concrètement réalisé après l’invalidité, d’utiliser l’ESS pour déterminer le revenu d’invalide. Dans la mesure où les revenus de valide et d’invalide sont calculés à partir du même salaire statistique, il n'est pas nécessaire de les déterminer avec précision, puisque le degré d'invalidité correspond au degré d'incapacité de travail, compte tenu d'un éventuel abattement du salaire fondé sur les statistiques. L’abattement de 5% retenu par l’intimée est contesté par le recourant, qui fait valoir que ses nombreuses limitations fonctionnelles, son inexpérience et son manque de formation justifieraient une réduction de 20%. La Cour de céans relève qu’une réduction au titre du handicap dépend de la nature des limitations fonctionnelles présentées et n'entre en considération que si, sur un marché du travail équilibré, il n'y a plus un éventail suffisamment large d'activités accessibles à l'assuré (cf. arrêts du Tribunal fédéral 8C_280/2022 du 1er mars 2023 consid. 7.2.3 ; 8C_608/2021 du 26 avril 2022 consid. 4.3.1 ; 8C_659/2021 du 17 février 2022 consid. 4.3.1 ; 8C_118/2021 du 21 décembre 2021 consid. 6.3.1). En l’espèce, le recourant présente des limitations fonctionnelles d'ordre somatique, l'empêchant d'effectuer des activités contraignantes pour son épaule droite. Ces limitations ne paraissent pas être de nature à empêcher le recourant d’exercer l’une des activités physiques ou manuelles simples que recouvre le marché équilibré du travail selon l'ESS 2020 (tableau TA1_skill_level et niveau de compétences 1). Un nombre suffisant d'entre elles correspondent à des travaux légers respectant les limitations fonctionnelles du recourant. Par ailleurs, le manque de formation n'est pas déterminant, dès lors qu'il s'agit d'un facteur étranger à l'invalidité (arrêt du Tribunal fédéral 9C_474/2010 du 11 avril 2011 consid. 3.2).</w:t>
      </w:r>
    </w:p>
    <w:p>
      <w:r>
        <w:t>A/1578/2025 - 23/25 - Quant au manque d'expérience dans une nouvelle profession, il ne constitue pas non plus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(arrêt du Tribunal fédéral 8C_131/2018 du 25 juillet 2018 consid. 5.2). Au vu des seules limitations fonctionnelles entrant en considération à titre de critère de réduction, l’intimée est restée dans les limites de son pouvoir d’appréciation en retenant un abattement de 5%.</w:t>
      </w:r>
    </w:p>
    <w:p>
      <w:r>
        <w:rPr>
          <w:b/>
        </w:rPr>
        <w:t>E. 7.3</w:t>
      </w:r>
    </w:p>
    <w:p>
      <w:r>
        <w:t>Partant, le degré d’invalidité de 5%, correspondant en l’espèce au taux d’abattement, doit être confirmé. Le recourant n’a donc pas droit à une rente.</w:t>
      </w:r>
    </w:p>
    <w:p>
      <w:r>
        <w:rPr>
          <w:b/>
        </w:rPr>
        <w:t>E. 8</w:t>
      </w:r>
    </w:p>
    <w:p>
      <w:r>
        <w:t>Il convient enfin d’examiner si le taux d’IPAI de 10% retenu par l’intimée est critiquable.</w:t>
      </w:r>
    </w:p>
    <w:p>
      <w:r>
        <w:rPr>
          <w:b/>
        </w:rPr>
        <w:t>E. 8.1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1re phr.).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Le taux d'une atteinte à l'intégrité doit être évalué exclusivement sur la base de constatations médicales (ATF 115 V 147 consid. 1 ; 113 V 218 consid. 4b ; RAMA 2004 p. 415 ; arrêt du Tribunal fédéral U.134/03 du 12 janvier 2004 consid. 5.2).</w:t>
      </w:r>
    </w:p>
    <w:p>
      <w:r>
        <w:rPr>
          <w:b/>
        </w:rPr>
        <w:t>E. 8.2</w:t>
      </w:r>
    </w:p>
    <w:p>
      <w:r>
        <w:t>Pour mémoire, à teneur de la décision litigieuse, l’intimée a reconnu au recourant le droit à une IPAI de 10% sur la base de l’appréciation du 17 février 2025 du Dr D______.</w:t>
      </w:r>
    </w:p>
    <w:p>
      <w:r>
        <w:t>A/1578/2025 - 24/25 - Ce dernier a retenu que la périarthrite scapulo-humérale débutante, qu’il estime être la conséquence d’une capsulite rétractile, visible à l’imagerie, justifie un taux d’IPAI de 10%. Le recourant s’est contenté de conclure à un taux d’au moins 30%, sans apporter aucun élément en ce sens. Or, aucun avis médical au dossier ne procède à une évaluation divergente de son atteinte à l'intégrité ou ne permet de mettre en doute l'appréciation du médecin-conseil de l’intimée. Partant, la décision litigieuse sera confirmée sur ce point également.</w:t>
      </w:r>
    </w:p>
    <w:p>
      <w:r>
        <w:rPr>
          <w:b/>
        </w:rPr>
        <w:t>E. 9</w:t>
      </w:r>
    </w:p>
    <w:p>
      <w:r>
        <w:t>Au vu de ce qui précède, le recours est rejeté. Pour le surplus, la procédure est gratuite (art. 61 let. fbis LPGA a contrario).</w:t>
      </w:r>
    </w:p>
    <w:p>
      <w:r>
        <w:t>***</w:t>
      </w:r>
    </w:p>
    <w:p>
      <w:r>
        <w:t>A/1578/2025 - 25/25 -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