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ATAS/298/2013 vom 21. März 2013</w:t>
      </w:r>
    </w:p>
    <w:p>
      <w:r>
        <w:t>GE Cour de justice, 2013-03-21, FR</w:t>
      </w:r>
    </w:p>
    <w:p>
      <w:r>
        <w:rPr>
          <w:b/>
        </w:rPr>
        <w:t xml:space="preserve">Quelle: </w:t>
      </w:r>
      <w:r>
        <w:t>https://mcp.opencaselaw.ch/entscheid/ge_gerichte_ATAS_298_2013</w:t>
      </w:r>
    </w:p>
    <w:p>
      <w:r>
        <w:t>FR: GE_GERICHTE ATAS/298/2013 du 21 mars 2013</w:t>
      </w:r>
    </w:p>
    <w:p>
      <w:r>
        <w:t>IT: GE_GERICHTE ATAS/298/2013 del 21 marzo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Interjeté en temps utile devant la juridiction compétente, le recours est recevable (art. 56V al. 1 let. a ch. 9 LOJ et 60 LPGA).</w:t>
      </w:r>
    </w:p>
    <w:p>
      <w:r>
        <w:rPr>
          <w:b/>
        </w:rPr>
        <w:t>E. 3</w:t>
      </w:r>
    </w:p>
    <w:p>
      <w:r>
        <w:t>Le litige porte sur le bien-fondé de la suspension du droit du recourant à l’indemnité de chômage pour une durée de 18 jours.</w:t>
      </w:r>
    </w:p>
    <w:p>
      <w:r>
        <w:rPr>
          <w:b/>
        </w:rPr>
        <w:t>E. 4</w:t>
      </w:r>
    </w:p>
    <w:p>
      <w:r>
        <w:t>Selon l’art. 30 al. 1 let. a LACI, l’assuré doit être suspendu dans l’exercice de son droit à l’indemnité lorsqu’il est sans travail par sa propre faute. Selon l’art. 44 al. 1 let. a de l’ordonnance sur l’assurance-chômage obligatoire et l’indemnité en cas d’insolvabilité du 31 août 1983 (OACI), est notamment réputé sans travail par sa propre faute l’assuré qui, par son comportement, en particulier</w:t>
      </w:r>
    </w:p>
    <w:p>
      <w:r>
        <w:t>A/338/2013 - 5/8 - par la violation de ses obligations contractuelles de travail, a donné à son employeur un motif de résiliation du contrat de travail. La suspension du droit à l'indemnité prononcée en raison du chômage dû à une faute de l'assuré ne suppose pas une résiliation des rapports de travail pour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et les arrêts cités ; ATF C 387/98 non publié du 22 juin 1999). Une suspension du droit à l'indemnité ne peut cependant être infligée à l'assuré que si le comportement reproché à celui-ci est clairement établi.</w:t>
      </w:r>
    </w:p>
    <w:p>
      <w:r>
        <w:rPr>
          <w:b/>
        </w:rPr>
        <w:t>E. 5</w:t>
      </w:r>
    </w:p>
    <w:p>
      <w:r>
        <w:t>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w:t>
      </w:r>
    </w:p>
    <w:p>
      <w:r>
        <w:rPr>
          <w:b/>
        </w:rPr>
        <w:t>E. 6</w:t>
      </w:r>
    </w:p>
    <w:p>
      <w:r>
        <w:t>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celui du « comportement raisonnablement exigible » de l’assuré. Il faut se demander dans chaque cas d’espèce si, au vu de toutes les circonstances, on pouvait raisonnablement exiger du travailleur qu’il conservât sa place de travail (MUNOZ,</w:t>
      </w:r>
    </w:p>
    <w:p>
      <w:r>
        <w:t>A/338/2013 - 6/8 - La fin du contrat individuel de travail et le droit aux indemnités de l’assurance- chômage, Lausanne, thèse 1992, p. 167 et p. 175). 19.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Elle est fixée en tenant compte de toutes les circonstances du cas particulier tel que le mobile, les circonstances personnelles (âge, état civil, état de santé, dépendance éventuelle, environnement social, niveau de formation, connaissances linguistiques etc.), les circonstances particulières (comportement de l’employeur ou des collègues de travail, climat de travail) et, par exemple, de fausses hypothèses quant à l’état de fait, par exemple quant à la certitude d’obtenir un nouvel emploi lorsque les rapports de travail ont été résiliés d’un commun accord.</w:t>
      </w:r>
    </w:p>
    <w:p>
      <w:r>
        <w:rPr>
          <w:b/>
        </w:rPr>
        <w:t>E. 7</w:t>
      </w:r>
    </w:p>
    <w:p>
      <w:r>
        <w:t>En l'espèce il convient de déterminer, en vertu de la jurisprudence rappelée ci- dessus, si c'est le comportement général du recourant qui a donné lieu à son congédiement. Force est de constater que, dans l’attestation d’employeur déjà, et tout au long de la procédure, l’employeur a maintenu son reproche de multiples arrivées tardives. Il est vrai que, selon la jurisprudence citée supra, en cas de conflit avec l’employeur, les seuls propos de ce dernier ne sont pas suffisants. Il est vrai également que le recourant allègue avoir obtenu une dérogation au règlement d’entreprise qui prévoit en son article 13 la présence obligatoire de chaque collaborateur dès 8h30. Cependant force est de constater que le recourant ne conteste pas être arrivé à plusieurs reprises après 8h30 et que son contrat de travail individuel ne prévoit aucune dérogation audit règlement. On ajoutera qu’il est significatif que la requête déposée par l’intéressé auprès des prud’hommes ait eu pour objectif non de contester les motifs de son licenciement mais les retenues opérées sur son salaire, dont la caisse a constaté qu’elles étaient bel et bien justifiées puisqu’elles correspondaient aux dépassements de forfaits d’essence et de téléphone du recourant. Dans ces circonstances, la Cour de céans ne peut que considérer qu’il est établi, au degré de la vraisemblance prépondérante requis, que le recourant a bel et bien donné à son employeur des raisons de le licencier en multipliant les arrivées tardives. La Cour de céans relèvera au surplus que l’intimée a été favorable au recourant en ne tenant aucun compte des griefs formulés par l’employeur s’agissant de l’utilisation de la ligne fixe de téléphone. En effet, s’il était prévu contractuellement que le dépassement du forfait mobile soit mis à la charge de l’employé, rien de tel ne l’était s’agissant du téléphone fixe (cf. article 9 du règlement d’entreprise), dont</w:t>
      </w:r>
    </w:p>
    <w:p>
      <w:r>
        <w:t>A/338/2013 - 7/8 - l’employeur a relevé qu’il avait été utilisé à plusieurs reprises par le recourant pour des télécommunications internationales que le travail de l’intéressé ne justifiaient pas. Quant au grief de « mobbing » soulevé par le recourant, force est de constater qu’il n’est étayé par aucun fait objectif, si ce n’est celui, bien vague, qu’un collaborateur lui « aurait manqué de respect » en criant après lui. Eu égard aux considérations qui précèdent, le recours est rejeté, étant souligné que la suspension infligée par l’intimée se situe dans le minimum de la fourchette prévue en cas de faute moyenne.</w:t>
      </w:r>
    </w:p>
    <w:p>
      <w:r>
        <w:t>A/338/2013 - 8/8 -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