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ATAS/297/2021 vom 30. März 2021</w:t>
      </w:r>
    </w:p>
    <w:p>
      <w:r>
        <w:t>GE Cour de justice, 2021-03-30, FR</w:t>
      </w:r>
    </w:p>
    <w:p>
      <w:r>
        <w:rPr>
          <w:b/>
        </w:rPr>
        <w:t xml:space="preserve">Quelle: </w:t>
      </w:r>
      <w:r>
        <w:t>https://mcp.opencaselaw.ch/entscheid/ge_gerichte_ATAS_297_2021</w:t>
      </w:r>
    </w:p>
    <w:p>
      <w:r>
        <w:t>FR: GE_GERICHTE ATAS/297/2021 du 30 mars 2021</w:t>
      </w:r>
    </w:p>
    <w:p>
      <w:r>
        <w:t>IT: GE_GERICHTE ATAS/297/2021 del 30 marzo 2021</w:t>
      </w:r>
    </w:p>
    <w:p>
      <w:pPr>
        <w:pStyle w:val="Heading2"/>
      </w:pPr>
      <w:r>
        <w:t>Erwägungen</w:t>
      </w:r>
    </w:p>
    <w:p>
      <w:r>
        <w:rPr>
          <w:b/>
        </w:rPr>
        <w:t>E. 1</w:t>
      </w:r>
    </w:p>
    <w:p>
      <w:r>
        <w:t>Conformément à l'art. 134 al. 1 let. a ch. 3 de la loi sur l'organisation judiciaire, du 26 septembre 2010 (LOJ - E 2 05), la chambre des assurances sociales de la Cour</w:t>
      </w:r>
    </w:p>
    <w:p>
      <w:r>
        <w:t>A/3740/2019 - 6/14 - de justice connaît en instance unique des contestations prévues à l’art. 56 de la loi fédérale sur la partie générale du droit des assurances sociales, du 6 octobre 2000 (LPGA - RS 830.1) relatives à la LPC.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 délai de recours est de trente jours (art. 60 al. 1 LPGA ; art. 43 LPCC ; art. 62 al. 1 let. a de la loi sur la procédure administrative du 12 septembre 1985 [LPA-GE - E 5 10] et art. 43 LPCC). Interjeté dans les forme et délai légaux, le recours est recevable (art. 56 al. 1 et 60 al. 1 LPGA ; art. 9 de la loi cantonale du 14 octobre 1965 sur les prestations fédérales complémentaires à l’assurance-vieillesse et survivants et à l’assurance-invalidité [LPFC - J 4 20] ; art. 43 LPCC).</w:t>
      </w:r>
    </w:p>
    <w:p>
      <w:r>
        <w:rPr>
          <w:b/>
        </w:rPr>
        <w:t>E. 3</w:t>
      </w:r>
    </w:p>
    <w:p>
      <w:r>
        <w:t>Le 1er janvier 2021 est entrée en vigueur la modification du 21 juin 2019 de la LPGA. Toutefois, dans la mesure où le recours était, au 1er janvier 2021, pendant devant la chambre de céans, il reste soumis à l'ancien droit (cf. art. 83 LPGA).</w:t>
      </w:r>
    </w:p>
    <w:p>
      <w:r>
        <w:rPr>
          <w:b/>
        </w:rPr>
        <w:t>E. 4</w:t>
      </w:r>
    </w:p>
    <w:p>
      <w:r>
        <w:t>Le litige porte sur la question de savoir si c’est à juste titre que l’intimé a requis de la recourante la restitution des prestations complémentaires fédérales et cantonales, pour la période du 1er avril 2011 au 31 mars 2018.</w:t>
      </w:r>
    </w:p>
    <w:p>
      <w:r>
        <w:rPr>
          <w:b/>
        </w:rPr>
        <w:t>E. 5</w:t>
      </w:r>
    </w:p>
    <w:p>
      <w:r>
        <w:t>S'agissant des prestations complémentaires fédérales, selon l'art. 25 al. 1 1ère phrase LPGA, en relation avec l'art. 2 al. 1 let. a de l'Ordonnance sur la partie générale du droit des assurances sociales du 11 septembre 2002 (OPGA ; RS 830.11), les prestations indûment touchées doivent être restituées par le bénéficiaire ou par ses héritiers. L'obligation de restituer suppose aujourd'hui encore, conformément à la jurisprudence rendue à propos des anciens articles 47 al. 1 de la loi fédérale sur l'assurance-vieillesse et survivants du 20 décembre 1946 (LAVS - RS 831.10) ou 95 de la loi fédérale sur l'assurance-chômage obligatoire et l'indemnité en cas d'insolvabilité du 25 juin 1982 (LACI - RS 837.0) (p. ex. ATF 129 V 110 consid. 1.1 ; ATF 126 V 23 consid. 4b et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w:t>
      </w:r>
    </w:p>
    <w:p>
      <w:r>
        <w:t>A/3740/2019 - 7/14 -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w:t>
      </w:r>
    </w:p>
    <w:p>
      <w:r>
        <w:rPr>
          <w:b/>
        </w:rPr>
        <w:t>E. 6</w:t>
      </w:r>
    </w:p>
    <w:p>
      <w:r>
        <w:t>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7</w:t>
      </w:r>
    </w:p>
    <w:p>
      <w:r>
        <w:t>En vertu de l'art. 25 al. 2 1ère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En matière de prestations complémentaires, ce sont principalement les art. 31 LPC (art. 16 aLPC), 146 et 148a du Code pénal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en cas de violation du devoir d’informer. L’art. 146 al. 1 CP sanctionne l’infraction d’escroquerie d’une peine privative de liberté de cinq ans au plus ou d’une peine pécuniaire. Quant à l’art. 148a CP, qui vise l’obtention illicite de prestations d’une assurance sociale ou de l’aide sociale, il prévoit une peine privative de liberté d’un an au plus ou une peine pécuniaire (al. 1). Dans les cas de peu de gravité, la peine est l’amende (al. 2). Selon l'art. 97 al. 1 CP (art. 70 aCP dans sa teneur entrée en vigueur depuis le 1er octobre 2002), l'action pénale se prescrit par trente ans si l'infraction était passible d'une peine privative de liberté à vie, par quinze ans si elle était passible</w:t>
      </w:r>
    </w:p>
    <w:p>
      <w:r>
        <w:t>A/3740/2019 - 8/14 - d'une peine privative de liberté de plus de trois ans, et de sept ans si elle était passible d'une autre peine. Le délai de prescription de l'action pénale pour une infraction telle que celle décrite aux art. 31 LPC et 148a CP est donc de sept ans, celui de l’infraction visée à l'art. 146 al. 1 CP de quinze ans.</w:t>
      </w:r>
    </w:p>
    <w:p>
      <w:r>
        <w:rPr>
          <w:b/>
        </w:rPr>
        <w:t>E. 8</w:t>
      </w:r>
    </w:p>
    <w:p>
      <w:r>
        <w:t>L’art. 148a CP, entré en vigueur le 1er octobre 2016, sanctionne celui qui,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Cette nouvelle infraction constitue une clause générale de l’escroquerie (art. 146 CP). Cette dernière peut aussi punir l’obtention illicite de prestations sociales. L’art. 146 CP suppose que l’auteur induit astucieusement en erreur une personne ou qu’il la conforte astucieusement dans son erreur. Si l’énoncé de fait légal (plus grave) définissant l’escroquerie n’est pas réalisé, parce que l’astuce fait défaut, c’est la clause générale qui s’applique. Pour que la nouvelle infraction soit réalisée, il n’est pas nécessaire que l’auteur agisse astucieusement lorsqu’il induit une personne en erreur ou qu’il la conforte dans son erreur. L’art. 148a CP vise les comportements délictueux en matière d’obtention illicite de prestations d’une assurance sociale ou de l’aide sociale qui ne seraient pas déjà couverts par les éléments constitutifs de l’escroquerie (Message du Conseil fédéral concernant une modification du Code pénal et du Code pénal militaire 13.056 (FF 2013 5431)). L’art. 148a CP fonde une punissabilité de l’omission. La réalisation de l’infraction n’est pas subordonnée à l’existence d’une position de garant, et ne suppose pas une demande de renseignements de l’administration (arrêt du Tribunal fédéral 6B_1015/2019 du 4 décembre 2019 consid. 4). Conformément à l'art. 31 al. 1 let. d LPC, est puni, à moins qu'il ne s'agisse d'un crime ou d'un délit frappé d'une peine plus élevée par le Code pénal, d'une peine pécuniaire n'excédant pas 180 jours-amende celui qui manque à son obligation de communiquer au sens de l'art. 31 al. 1 LPGA. Par le biais des dispositions pénales figurant dans les diverses lois d'assurances sociales (voir également l'art. 87 al. 5 LAVS ainsi que les art. 70 LAI, 25 LAPG et 23 LAFam, qui tous trois renvoient à la LAVS), le législateur a entendu garantir, compte tenu des moyens financiers limités de la collectivité publique, de l'exigence d'un emploi ciblé et efficace des ressources ainsi que des principes généraux du droit administratif, que des prestations d'assurances sociales ne soient versées qu'aux personnes qui en remplissent les conditions légales. Le but poursuivi par ces normes est, d'une part, de permettre la mise en œuvre conforme au droit et, si possible, efficiente et égalitaire de l'assurance sociale et, d'autre part, de garantir le respect du principe de la bonne foi qui doit régir les relations entre les autorités et les personnes qui sollicitent des prestations sociales. Il ressort de la systématique de la loi que l'existence de dispositions pénales spéciales exclut le fait que l'on puisse</w:t>
      </w:r>
    </w:p>
    <w:p>
      <w:r>
        <w:t>A/3740/2019 - 9/14 - assimiler une simple violation du devoir d'annoncer au sens de l'art. 31 LPGA à une escroquerie au sens de l'art. 146 CP. Certes, les dispositions pénales précitées réservent l'existence d'un crime ou d'un délit frappé d'une peine plus élevée. De telles infractions ne peuvent toutefois entrer en ligne de compte que dans la mesure où interviennent des circonstances qui dépassent la simple violation du devoir d'annoncer, sans quoi les dispositions pénales spéciales s'avéreraient superflues si on pouvait qualifier d'escroquerie une simple violation du devoir d'annoncer (ATF 140 IV 11 consid. 2.4.6).</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10</w:t>
      </w:r>
    </w:p>
    <w:p>
      <w:r>
        <w:t>En l’espèce, à réception de divers documents le 13 octobre 2017, l’intimé a pris connaissance du bien immobilier sis en Espagne, propriété de la recourante, ainsi que des comptes bancaires ouverts en Espagne en lien avec la succession du bien immobilier. Ces faits nouveaux justifient la révision des décisions d’octroi de prestations complémentaires erronées. Ainsi, en réclamant la restitution des prestations par décision du 19 avril 2018, l’intimé a-t-il respecté le délai relatif d’une année à compter du moment où il a eu connaissance du fait. S’agissant du délai absolu, force est de relever que le Ministère public a ordonné le classement de la procédure pénale dirigée contre la recourante pour manquement à son obligation de communiquer (art. 31 al. 1 let. d LPC) et obtention illicite de prestations d’une assurance sociale ou de l’aide sociale (art. 148a CP). Il a considéré que dès lors qu’en octobre 2005, la recourante avait mentionné à l’intimé qu’une succession était en cours et qu’elle avait spontanément annoncé le bien immobilier et l’existence des comptes bancaires tant à l’administration fiscale qu’à l’intimé, l’élément constitutif subjectif des infractions de l’art. 148a CP et 31 al. 1</w:t>
      </w:r>
    </w:p>
    <w:p>
      <w:r>
        <w:t>A/3740/2019 - 10/14 - let. d LPC faisait défaut. Cette ordonnance a été confirmée par la chambre pénale de recours sur recours du SPC par arrêt du 16 septembre 2020, entré en force. Il suit de là que seul le délai de péremption de cinq ans régi par la première phrase de l’art. 25 al. 2 LPGA trouve application. L’intimé l’admet du reste expressément puisqu’il conclut à l’admission du recours sur ce point. Aussi, l’intimé ne pouvait-il réclamer la restitution des prestations que dès le 1er avril 2013. Pour le reste, la recourante ne conteste pas les montants retenus par l’intimé dans le cadre du décompte établi pour la période du 1er avril 2013 au 31 mars 2018, ni le montant des prestations qui lui ont été versées durant cette période. La cause sera partant renvoyée à l’intimé pour nouveau calcul du montant des prestations complémentaires fédérales et cantonales, de subsides de l’assurance-maladie et de frais médicaux perçus à tort entre le 1er avril 2013 et le 31 mars 2018.</w:t>
      </w:r>
    </w:p>
    <w:p>
      <w:r>
        <w:rPr>
          <w:b/>
        </w:rPr>
        <w:t>E. 11</w:t>
      </w:r>
    </w:p>
    <w:p>
      <w:r>
        <w:t>Reste à voir si, comme le requiert la recourante, il y a lieu de renoncer d’emblée à la restitution des prestations complémentaires versées à tort en application de l’art. 3 al. 3 OPGA. a. Aux termes de l’art. 3 de l'ordonnance du 11 septembre 2002 sur la partie générale du droit des assurances sociales (OPGA – RS 830.11), l'étendue de l'obligation de restituer est fixée par une décision (al. 1). L'assureur indique la possibilité d'une remise dans la décision en restitution (al. 2). L'assureur décide dans sa décision de renoncer à la restitution lorsqu'il est manifeste que les conditions d'une remise sont réunies (al. 3). Selon la jurisprudence, l’art. 3 al. 3 OPGA ne constitue pas une « Kann-Vorschrift ». La renonciation qui y est prévue doit être ordonnée d’office – en une seule et même étape – lorsqu’il est manifeste que les conditions d’une remise sont réunies (cf. arrêt du Tribunal fédéral 9C_53/2014 du 20 août 2014 consid. 2). Aux termes de l’art. 4 OPGA,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trente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w:t>
      </w:r>
    </w:p>
    <w:p>
      <w:r>
        <w:t>A/3740/2019 - 11/14 - b. Il y a situation difficile, au sens de l’art. 25 al. 1 LPGA, lorsque les dépenses reconnues par la LPC et les dépenses supplémentaires au sens de l’al. 4 sont supérieures aux revenus déterminants selon la LPC (art. 5 al. 1 OPGA). D’après l’art. 5 al. 4 OPGA, les dépenses supplémentaires sont prises en compte à hauteur de CHF 8'000.- pour les personnes seules. Pour admettre la « bonne foi » au sens de l’art. 25 al. 1, 2ème phrase LPGA, l’ignorance par le bénéficiaire des prestations du fait qu’il n’avait pas droit aux prestations ne suffit pas (ATF 110 V 176 consid. 3c). En outre,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On peut attendre d'un assuré qu'il décèle des erreurs manifestes et qu'il en fasse l'annonce à la caisse (cf. arrêt du Tribunal fédéral 9C_189/2012 du 21 août 2012 consid. 4 et les références). L'assuré peut en revanche invoquer sa bonne foi lorsque l'acte ou l'omission fautifs ne constituent qu'une violation légère de l'obligation d'annoncer ou de renseigner (cf. ATF 138 V 218 consid. 4 ; ATF 112 V 97 consid. 2c et les références ; arrêt du Tribunal fédéral 9C_638/2014 du 13 août 2015 consid. 4.2). c.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413 consid. 1a p. 414). Selon la jurisprudence,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ATF 122 V 36 consid. 2a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(GYGI, Bundesverwaltungsrecht, 2ème éd., 1983, p. 43) et les droits procéduraux</w:t>
      </w:r>
    </w:p>
    <w:p>
      <w:r>
        <w:t>A/3740/2019 - 12/14 - des parties doivent être respectés (Ulrich MEYER / Isabel VON ZWEHL, L'objet du litige en procédure de droit administratif fédéral, in Mélanges Pierre Moor, 2005, n° 27 p. 446).</w:t>
      </w:r>
    </w:p>
    <w:p>
      <w:r>
        <w:rPr>
          <w:b/>
        </w:rPr>
        <w:t>E. 12</w:t>
      </w:r>
    </w:p>
    <w:p>
      <w:r>
        <w:t>En l’occurrence, dans la mesure où ce point n’a pas été abordé dans la décision entreprise, on peut d’emblée questionner la compétence de la chambre de céans pour se prononcer sur la question de la renonciation à la restitution des prestations versées à tort selon l’art. 3 al. 3 OPGA, disposition qui attribue d’ailleurs explicitement cette compétence à « l’assureur ». Les conditions pour élargir le procès au-delà de l’objet de la contestation n’apparaissent pas réunies dans la mesure où l’intimé ne s’est pas exprimé sur le caractère manifeste de la bonne foi et de la situation financière difficile. On ne saurait par ailleurs retenir que la question est en état d’être jugée en l’absence de documents récents sur la situation patrimoniale de la recourante, étant à cet égard précisé que le moment déterminant pour juger si un assuré remplit la condition de la situation difficile est celui de l’entrée en force de la décision en restitution (art. 4 al. 2 OPGA). Quoi qu’il en soit, on ne saurait retenir que les conditions d’une remise sont manifestement réunies. Force est en effet de constater que, dans son formulaire de demande de prestations du 5 octobre 2005, la recourante s’est limitée à informer l’intimé qu’une succession était en cours. En cela, elle a omis de mentionner qu’un bien immobilier à l’étranger entrait dans la succession de feu son époux, alors qu’une rubrique « bien immobilier » figurait dans la déclaration de succession, signée par la recourante le 5 octobre 2005 et jointe à sa demande de prestations. Il convient certes de relever que la recourante, qui n’a pas de formation juridique, a annoncé cet élément immédiatement après le partage de la succession en août 2017. Par ailleurs, en l’absence de réaction concrète de la part du SPC à la suite de l’annonce d’une succession en cours en octobre 2005, notamment une demande de précisions sur les biens composant la succession, on ne saurait reprocher à la recourante d’avoir volontairement caché cet élément à l’intimé. À ce stade de la procédure, il suffit toutefois de relever que la condition de la bonne foi n’est pas à ce point manifeste qu’il y a lieu de renoncer à la restitution dans la présente décision. On relèvera, au demeurant, qu’en l’état du dossier, il n’apparaît pas possible de déterminer si les comptes bancaires étrangers auraient pu être annoncés avant décembre 2017.</w:t>
      </w:r>
    </w:p>
    <w:p>
      <w:r>
        <w:rPr>
          <w:b/>
        </w:rPr>
        <w:t>E. 13</w:t>
      </w:r>
    </w:p>
    <w:p>
      <w:r>
        <w:t>Au vu des considérations qui précèdent, il a y lieu d’admettre partiellement le recours. La décision sur opposition du 4 septembre 2019 est annulée et la cause sera renvoyée à l’intimé pour nouveau calcul du montant des prestations complémentaires fédérales et cantonales, des subsides de l’assurance-maladie et des frais médicaux perçus à tort entre le 1er avril 2013 et le 31 mars 2018. Cela étant dit, l’attention de la recourante est attirée sur le fait qu’il lui est loisible de déposer une demande de remise de l’obligation de restitution au sens de l’art. 25 al. 1 LPGA dans les délais requis.</w:t>
      </w:r>
    </w:p>
    <w:p>
      <w:r>
        <w:t>A/3740/2019 - 13/14 -</w:t>
      </w:r>
    </w:p>
    <w:p>
      <w:r>
        <w:rPr>
          <w:b/>
        </w:rPr>
        <w:t>E. 14</w:t>
      </w:r>
    </w:p>
    <w:p>
      <w:r>
        <w:t>La recourante, qui obtient partiellement gain de cause par l’intermédiaire d’un avocat, a droit à une participation à ses frais et dépens (art. 61 let. g LPGA) que la chambre de céans arrêtera à CHF 2'000.- (art. 6 du règlement sur les frais, émoluments et indemnités en procédure administrative du 30 juillet 1986 – RFPA - E 5 10.03). Au surplus, la procédure est gratuite (art. 61 let. a LPGA, dans sa version applicable jusqu’au 31 décembre 2020, cf. supra consid. 3). * * * * * *</w:t>
      </w:r>
    </w:p>
    <w:p>
      <w:r>
        <w:t>A/3740/2019 - 14/14 -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