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ATAS/296/2015 vom 27. April 2015</w:t>
      </w:r>
    </w:p>
    <w:p>
      <w:r>
        <w:t>GE Cour de justice, 2015-04-27, FR</w:t>
      </w:r>
    </w:p>
    <w:p>
      <w:r>
        <w:rPr>
          <w:b/>
        </w:rPr>
        <w:t xml:space="preserve">Quelle: </w:t>
      </w:r>
      <w:r>
        <w:t>https://mcp.opencaselaw.ch/entscheid/ge_gerichte_ATAS_296_2015</w:t>
      </w:r>
    </w:p>
    <w:p>
      <w:r>
        <w:t>FR: GE_GERICHTE ATAS/296/2015 du 27 avril 2015</w:t>
      </w:r>
    </w:p>
    <w:p>
      <w:r>
        <w:t>IT: GE_GERICHTE ATAS/296/2015 del 27 aprile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Interjeté en temps utile, le recours est recevable (art. 60 LPGA).</w:t>
      </w:r>
    </w:p>
    <w:p>
      <w:r>
        <w:rPr>
          <w:b/>
        </w:rPr>
        <w:t>E. 3</w:t>
      </w:r>
    </w:p>
    <w:p>
      <w:r>
        <w:t>L'objet du litige porte sur le bien-fondé de la suspension de cinq jours du droit à l'indemnité du recourant.</w:t>
      </w:r>
    </w:p>
    <w:p>
      <w:r>
        <w:t>A/3769/2014 - 5/8 -</w:t>
      </w:r>
    </w:p>
    <w:p>
      <w:r>
        <w:rPr>
          <w:b/>
        </w:rPr>
        <w:t>E. 4</w:t>
      </w:r>
    </w:p>
    <w:p>
      <w:r>
        <w:t>a.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(ATAS/140/2014 du 3 février 2014). En règle générale, l’assuré doit accepter immédiatement tout travail en vue de diminuer le dommage (art. 16 al. 1 LACI). b. L’art. 30 al. 1er let. d LACI dispose que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 Conformément l'art. 30 al. 2 LACI, l’autorité cantonale prononce les suspensions au sens de l’al. 1er let. c, d et g, de même qu’au sens de l’al. 1er let. e, lorsqu’il s’agit d’une violation de l’obligation de fournir des renseignements à ladite autorité ou à l’office du travail, ou de les aviser. Dans les autres cas, les caisses statuent. Selon l'art. 30 al. 3 LACI, la durée de la suspension est proportionnelle à la gravité de la faute. En vertu de l'art. 45 al. 2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w:t>
      </w:r>
    </w:p>
    <w:p>
      <w:r>
        <w:t>A/3769/2014 - 6/8 - A teneur du barème du barème du SECO, la non-présentation, sans motif valable, à la journée d'information, ou à un entretien de conseil ou de contrôle, constitue, la première fois, une faute légère justifiant une suspension de 5 à 8 jours (Bulletin LACI IC/D72, janvier 2013).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À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En l'espèce, il est établi, et non contesté, que l'intéressé ne s'est pas présenté au rendez-vous qui lui a été fixé par l'ORP le 14 octobre 2014, sans être excusé.</w:t>
      </w:r>
    </w:p>
    <w:p>
      <w:r>
        <w:t>A/3769/2014 - 7/8 - e. Il y a lieu d'examiner si les circonstances du cas d'espèce justifient ce manquement. Tel n'est pas le cas en l'espèce. L'intéressé a été pleinement informé de ses obligations et des conséquences possibles de leur non-respect, lors de son inscription à l'ORP. Il a néanmoins quitté Genève pendant plusieurs jours, sans en informer l'ORP, alors même que le premier rendez-vous fixé avec ce dernier avait dû être reporté par sa faute. S'il est établi que des membres de sa famille ont subi une inondation, cette circonstance ne suffit pas à excuser son manquement. Il ne se trouvait pas dans une situation d'urgence rendant compréhensible qu'il quitte Genève, sans en informer l'OCE, l'inondation ayant eu lieu quatre jours avant son départ et les membres de sa famille ayant été relogés. La situation de ces derniers n'était pas si dramatique, dès lors qu'ils n'ont subi que des dommages matériels. L'intéressé invoque encore le fait qu'il n'avait pas de conseiller attitré. Cela ne saurait en aucun cas excuser le fait qu'il n'a pas demandé l'autorisation de quitter Genève. Rien ne l'empêchait de prendre contact avec la réception de l'ORP ou de contacter le conseiller qui lui avait fixé le premier rendez-vous. f. Il y a encore lieu d'examiner s'il ressort de l'attitude générale de l'intéressé qu'il prenait ses obligations de chômeur très au sérieux, de telle sorte qu'une sanction apparaîtrait injustifiée. Tel n'est manifestement pas le cas, l'intéressé étant déjà arrivé en retard au premier rendez-vous qui lui avait été fixé par l'ORP, sans motif valable. g. La durée de la suspension correspond au barème minimum en la matière. Par conséquent, il ne peut être reproché à l'intimé d'avoir excédé son pouvoir d'appréciation.</w:t>
      </w:r>
    </w:p>
    <w:p>
      <w:r>
        <w:rPr>
          <w:b/>
        </w:rPr>
        <w:t>E. 5</w:t>
      </w:r>
    </w:p>
    <w:p>
      <w:r>
        <w:t>En conséquence, le recours sera rejeté.</w:t>
      </w:r>
    </w:p>
    <w:p>
      <w:r>
        <w:rPr>
          <w:b/>
        </w:rPr>
        <w:t>E. 6</w:t>
      </w:r>
    </w:p>
    <w:p>
      <w:r>
        <w:t>La procédure est gratuite.</w:t>
      </w:r>
    </w:p>
    <w:p>
      <w:r>
        <w:t>A/3769/2014 - 8/8 -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