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ATAS/295/2024 vom 30. April 2024</w:t>
      </w:r>
    </w:p>
    <w:p>
      <w:r>
        <w:t>GE Cour de justice, 2024-04-30, FR</w:t>
      </w:r>
    </w:p>
    <w:p>
      <w:r>
        <w:rPr>
          <w:b/>
        </w:rPr>
        <w:t xml:space="preserve">Quelle: </w:t>
      </w:r>
      <w:r>
        <w:t>https://mcp.opencaselaw.ch/entscheid/ge_gerichte_ATAS_295_2024</w:t>
      </w:r>
    </w:p>
    <w:p>
      <w:r>
        <w:t>FR: GE_GERICHTE ATAS/295/2024 du 30 avril 2024</w:t>
      </w:r>
    </w:p>
    <w:p>
      <w:r>
        <w:t>IT: GE_GERICHTE ATAS/295/2024 del 30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w:t>
      </w:r>
    </w:p>
    <w:p>
      <w:r>
        <w:rPr>
          <w:b/>
        </w:rPr>
        <w:t>E. 3.1</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3.2</w:t>
      </w:r>
    </w:p>
    <w:p>
      <w:r>
        <w:t>En l’occurrence, la décision litigieuse a été rendue après le 1er janvier 2022. Toutefois, la modification des circonstances retenue par l’intimé serait survenue</w:t>
      </w:r>
    </w:p>
    <w:p>
      <w:r>
        <w:t>A/2631/2023 - 14/27 - avant cette date. Par conséquent, les dispositions applicables seront citées dans leur teneur en vigueur jusqu’au 31 décembre 2021.</w:t>
      </w:r>
    </w:p>
    <w:p>
      <w:r>
        <w:rPr>
          <w:b/>
        </w:rPr>
        <w:t>E. 4</w:t>
      </w:r>
    </w:p>
    <w:p>
      <w:r>
        <w:t>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5</w:t>
      </w:r>
    </w:p>
    <w:p>
      <w:r>
        <w:t>Le litige porte sur le bien-fondé de la décision du 19 juin 2023, par laquelle l’intimé a supprimé le droit à la rente d’invalidité octroyée au recourant par décision du 24 novembre 2016, plus particulièrement sur la question de savoir si sa capacité de gain s’est améliorée depuis lors.</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w:t>
      </w:r>
    </w:p>
    <w:p>
      <w:r>
        <w:rPr>
          <w:b/>
        </w:rPr>
        <w:t>E. 6.1</w:t>
      </w:r>
    </w:p>
    <w:p>
      <w:r>
        <w:t>L’art. 87 al. 1 RAI prévoit que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Conformément à l’art. 88bis al. 2 let. a RAI, la diminution ou la suppression de la rente, de l’allocation pour impotent ou de la contribution d’assistance prend effet au plus tôt le premier jour du deuxième mois qui suit la notification de la décision.</w:t>
      </w:r>
    </w:p>
    <w:p>
      <w:r>
        <w:rPr>
          <w:b/>
        </w:rPr>
        <w:t>E. 6.2</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w:t>
      </w:r>
    </w:p>
    <w:p>
      <w:r>
        <w:t>A/2631/2023 - 15/27 -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1er juin 2016 consid. 4.3 ; cf. également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6.3</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w:t>
      </w:r>
    </w:p>
    <w:p>
      <w:r>
        <w:t>A/2631/2023 - 16/27 -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7</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28 al. 2 LAI prévoit que l’assuré a droit à une rente entière s’il est invalide à 70% au moins, à un trois-quarts de rente s'il est invalide à 60% au moins, à une demi-rente s’il est invalide à 50% au moins, ou à un quart de rente s’il est invalide à 40% au moins. À teneur des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w:t>
      </w:r>
    </w:p>
    <w:p>
      <w:r>
        <w:t>A/2631/2023 - 17/27 -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A/2631/2023 - 18/27 -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w:t>
      </w:r>
    </w:p>
    <w:p>
      <w:r>
        <w:t>A/2631/2023 - 19/27 -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ATF 126 V 353 consid. 5b ; ATF 125 V 193 consid. 2). Aussi n’existe-t-il pas, en droit des assurances sociales, un principe selon lequel l’administration ou le juge devrait statuer, dans le doute, en faveur de l’assuré (ATF 135 V 39 consid. 6.1 et la référence).</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 Lorsque l'effet suspensif est retiré à un recours dirigé contre une décision de révision supprimant ou diminuant une rente ou une allocation pour impotent, ce retrait perdure en cas de renvoi de la cause à l'administration pour instruction complémentaire, également pendant la procédure d'instruction jusqu'à la notification de la nouvelle décision, sous réserve d'une éventuelle ouverture anticipée potentiellement abusive de la procédure de révision (ATF 129 V 370 ; arrêts du Tribunal fédéral 8C_739/2022 du 3 juillet 2023 consid. 5.1.1 ; 8C_618/2014 du 19 décembre 2014 consid. 6.2). Dans cette dernière hypothèse, le tribunal cantonal des assurances doit restituer l'effet suspensif pour le temps correspondant à la durée d'une instruction formellement correcte du dossier de l'assuré ; cela permet de sanctionner l'assureur qui statue trop rapidement, uniquement pour avancer autant que possible l'effet de la révision (arrêts du Tribunal fédéral 8C_739/2022 du 3 juillet 2023 consid. 5.1.1 ; 8C_118/2017 du 28 août 2017 consid. 3.1, in SVR 2017 IV n° 90 p. 280). À ce propos, le Tribunal fédéral a rappelé que le renvoi pour instruction complémentaire ne signifiait pas nécessairement que les constatations originelles étaient fausses, mais seulement</w:t>
      </w:r>
    </w:p>
    <w:p>
      <w:r>
        <w:t>A/2631/2023 - 20/27 - que celles-ci ne pouvaient pas être confirmées sur la base des documents disponibles. Il a précisé que les nouvelles observations pouvaient intégralement confirmer celles réalisées initialement, y compris du point de vue temporel (par exemple la date de l'amélioration de la capacité de travail justifiant la modification du droit), auquel cas la première décision supprimant ou diminuant les prestations était correcte et pouvait être entérinée avec effet rétroactif (ATF 106 V 18 et ATF 129 V 370). Il découlait logiquement de ce qui précède que, si les résultats de l'instruction complémentaire infirmaient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(soit durant la procédure initiale d'instruction, soit durant la procédure d'instruction complémentaire ; arrêts du Tribunal fédéral 8C_739/2022 du 3 juillet 2023 consid. 5.1.1 ; 9C_846/2018 du 29 novembre 2019 consid. 7.1).</w:t>
      </w:r>
    </w:p>
    <w:p>
      <w:r>
        <w:rPr>
          <w:b/>
        </w:rPr>
        <w:t>E. 11</w:t>
      </w:r>
    </w:p>
    <w:p>
      <w:r>
        <w:t>En l’espèce, le recourant fait tout d’abord grief à l’intimé d’avoir initié une procédure de révision avant l’échéance initialement prévue. Il soutient qu’au terme de l’enquête, qui faisait suite au courrier du 19 juillet 2017 du PCTN, l’intimé aurait dû conclure qu’il n’avait en aucun cas obtenu ou cherché à obtenir des prestations indues, et clore cette procédure en novembre 2019, étant relevé que son hobby était compatible avec la capacité de travail limitée à 30% retenue par le spécialiste en psychiatrie à l’issue de la première expertise. Or, l’intimé avait inventé de toute pièce une prétendue amélioration de l’état de santé. Le recourant invoque ensuite que le rapport du I______, dépourvu de toute valeur probante, constitue une seconde opinion. Aucun bilan neuropsychologique n’avait été réalisé, alors qu’il était prévu dans le mandat d’expertise. En outre, la première expertise avait conclu que le défaut d’attention, le trouble de la mémoire de travail, les signes de fléchissement exécutif, ainsi qu’un ralentissement, ne permettaient qu’une activité simple et routinière à raison de 50%. Son état de santé s’était aggravé, puisque le syndrome sévère des apnées du sommeil n’avait fait l’objet d’aucune investigation en 2016. L’expert psychiatre n’avait selon toute vraisemblance pas lu son dossier médical ni même participé à un consilium avec son collègue neurologue. Aucune explication raisonnable ne permettait de justifier l’appréciation selon laquelle l’attention et la concentration étaient de très bonne qualité durant l’entretien.</w:t>
      </w:r>
    </w:p>
    <w:p>
      <w:r>
        <w:rPr>
          <w:b/>
        </w:rPr>
        <w:t>E. 11.1</w:t>
      </w:r>
    </w:p>
    <w:p>
      <w:r>
        <w:t>Contrairement à ce que soutient le recourant, il ne s’est pas montré transparent avec son engagement dans le domaine de l’apiculture, puisqu’il a dans un premier temps affirmé, lors de l’entretien du 12 avril 2018, qu’il n’exerçait</w:t>
      </w:r>
    </w:p>
    <w:p>
      <w:r>
        <w:t>A/2631/2023 - 21/27 - aucune activité occupationnelle régulière, de loisirs ou de bénévolat, déclarant uniquement qu’il se rendait parfois au jardin de son frère, sans la moindre allusion à ses activités dans l’apiculture. Ce n’est qu’après avoir été spécifiquement interrogé sur cette occupation qu’il a reconnu consacrer une partie de son temps à des tâches de surveillance et de conseils, à hauteur de quatre heures par semaine au maximum, tout en précisant que l’activité était essentiellement exercée par son épouse, son frère et son beau-frère. On pourra également relever que le recourant a écrit à l’intimé le 4 mai 2018 qu’aucune comptabilité n’avait été tenue, les membres de sa famille et lui-même ayant toujours considéré que ce hobby ne représentait pas une activité professionnelle rémunérée compte tenu des faibles montants perçus. Pourtant, le recourant a par la suite remis à l’intimé ses bilans et comptes de pertes et profit relatifs à cette activité indépendante qui révèlent des bénéfices à hauteur de CHF 65'322.- pour 2016, CHF 107'775.- pour 2017 et CHF 76'592.- pour 2018. Il ressort en outre de l’instruction menée par l’intimé que la famille du recourant exploite 259 ruches dans le canton, réparties sur une trentaine de sites différents. Le recourant avait des cartes de visite à son nom, lequel apparaissait en outre sur des pots de miel et sur le site internet d’ « espace-terroir.ch ». Il avait fait des marchés et tenu des stands avec son épouse, était co-titulaire du contrat de bail des locaux commerciaux, avait présenté une animation parascolaire aux enfants scolarisés à Vernier, ce qui avait été relayé dans la presse. L’intimé était donc fondé à penser que l’intéressé avait repris une activité lucrative, ou du moins que son état de santé ou sa capacité de gain s’était amélioré depuis la décision du 24 novembre 2016. Il pouvait par conséquent procéder à la révision d’office, sans attendre le mois de septembre 2021, et mettre en œuvre une nouvelle expertise en vue de déterminer si le degré d’invalidité du recourant s’était notablement modifié depuis le prononcé de la décision d’octroi de rente. Enfin, il sera rappelé qu’à réception du rapport d’expertise, l’intimé a suivi la proposition du SMR du 2 mars 2022 consistant à réévaluer la situation à six mois, dès lors que l’état de santé du recourant ne semblait pas stabilisé sur les plans orthopédique et neurologique. Le 7 septembre 2022, le Dr F______ a remis à l’intimé différents protocoles opératoires antérieurs à l’expertise, et lui a indiqué qu’une intervention de l’épaule gauche avait été proposée et qu’il avait attesté d’une incapacité de travail jusqu’au 4 mars 2022, ce qui suggère, d’une part, que la chirurgie envisagée et mentionnée dans le rapport d’expertise n’avait pas eu lieu et, d’autre part, qu’il n’avait pas revu le patient depuis le mois de mars 2022. L’intimé a également reçu un rapport de l’ophtalmologue, mais aucun document émanant d’un spécialiste en psychiatrie ou en neurologie, et le Dr E______ n’a pas répondu à la demande de renseignements de l’intimé du 30 août 2022. Dans ces conditions, on ne saurait reprocher à l’intimé d’avoir statué trop rapidement, uniquement pour avancer autant que possible l'effet de la révision. Les conditions pour la restitution de l’effet suspensif ne sont pas donc pas réalisées, étant au</w:t>
      </w:r>
    </w:p>
    <w:p>
      <w:r>
        <w:t>A/2631/2023 - 22/27 - demeurant relevé que le recourant n’a pas formellement pris de conclusions en ce sens.</w:t>
      </w:r>
    </w:p>
    <w:p>
      <w:r>
        <w:rPr>
          <w:b/>
        </w:rPr>
        <w:t>E. 11.2</w:t>
      </w:r>
    </w:p>
    <w:p>
      <w:r>
        <w:t>S’agissant de la valeur probante du rapport du I______, la chambre de céans observe en premier lieu que les experts ont indiqué « partir du principe » qu’ils avaient reçu tous les documents médicaux pertinents, sans toutefois énumérer les pièces à leur disposition. Partant, il n’est pas possible de savoir s’ils ont eu accès au dossier médical complet du recourant, en particulier à l’intégralité du rapport d’expertise du 14 juin 2016, ou si leur évaluation repose en réalité sur le résumé du dossier effectué par l’intimé (Annexe 1). Elle relève ensuite que l’« appréciation générale interdisciplinaire » des experts (rapport p. 4 à 17) n’en est pas réellement une, puisque chaque spécialiste y a résumé sa propre évaluation, sans aucune discussion commune quant aux éventuelles interférences des différentes atteintes à la santé. Il en résulte même des différences, voire des contradictions, l’expert neurologue ayant par exemple retenu une capacité de concentration et d’attention soutenue limitée en raison de la somnolence consécutive à un syndrome d’apnées du sommeil (rapport p. 11), alors que le psychiatre a indiqué ne pas avoir noté de ralentissement psychomoteur, de trouble de la cognition ou de la concentration, de fatigabilité (rapport p. 7). L’affirmation selon laquelle « d’un point de vue interdisciplinaire, le degré global d’atteinte à la santé, compte tenu de tous les déficits énoncés, est considéré léger en respectant le profil d’effort » (rapport p. 10) est dépourvue de toute analyse ou motivation. Il en va de même de l’évaluation interdisciplinaire de la capacité de travail (rapport p. 13 et 14), dès lors que les experts se sont contentés de reprendre l’évaluation du neurologue, seul médecin à avoir conclu à une diminution de la capacité de travail, sans la moindre discussion. Le chapitre « Évaluation des ressources et des facteurs de surcharge » (rapport p. 11 à 16) est pour l’essentiel consacré aux limitations fonctionnelles et à l’estimation de la capacité de travail, et ne correspond pas à une analyse des critères d’évaluation des indicateurs développés par la jurisprudence, contrairement à ce que semble soutenir l’intimé. Les experts n’ont pas consacré une partie de leur rapport aux plaintes de l’intéressé, lesquelles ont été très brièvement énoncées par chaque spécialiste sous la rubrique « Affections actuelles » de leur partie.</w:t>
      </w:r>
    </w:p>
    <w:p>
      <w:r>
        <w:rPr>
          <w:b/>
        </w:rPr>
        <w:t>E. 11.3</w:t>
      </w:r>
    </w:p>
    <w:p>
      <w:r>
        <w:t>En outre, la chambre de céans relèvera que les experts ne se sont pas livrés à un examen approfondi du dossier, qu’ils ne se sont pas déterminés en pleine connaissance du cas, que leurs évaluations comportent des incohérences et que leurs conclusions sont insuffisamment motivées. D’ailleurs, dans un premier temps, le SMR a indiqué s’écarter des conclusions des experts, la situation ne semblant pas stabilisée.</w:t>
      </w:r>
    </w:p>
    <w:p>
      <w:r>
        <w:rPr>
          <w:b/>
        </w:rPr>
        <w:t>E. 11.3.1</w:t>
      </w:r>
    </w:p>
    <w:p>
      <w:r>
        <w:t>Ainsi, contrairement à ce que mentionne le neurologue (rapport p. 16), le syndrome des apnées du sommeil avait bien été mentionné à l’époque de la</w:t>
      </w:r>
    </w:p>
    <w:p>
      <w:r>
        <w:t>A/2631/2023 - 23/27 - première expertise, même si ce trouble n’avait pas été répertorié parmi les diagnostics (cf. rapport d’expertise de 2016 p. 45). Le neurologue a considéré que ce syndrome d’apnées obstructives du sommeil était « de degré sévère » et qu’il restreignait les capacités de concentration et d’attention soutenue, sans le moindre développement. On ignore donc sur quel élément il s’est basé pour retenir une capacité de travail entière avec une baisse de rendement de 20%. À cet égard, il est rappelé que le rapport de 2016 avait conclu que les troubles neurologiques limitaient la capacité de travail résiduelle à 50% et qu’une consultation en neuropsychologie, partiellement effectuée dans la langue maternelle de l’intéressé, avait mis en évidence un ralentissement, un défaut d’attention et en mémoire de travail, de légers signes dysexécutifs associés, ainsi que des performances déficitaires en mémoire antérograde (rapport d’expertise de 2016 p. 27). L’expert aurait dû expliquer les raisons pour lesquelles il estimait que ces troubles s’étaient améliorés ou influençaient dans une moindre mesure la capacité de travail de l’intéressé. À ce propos encore, il est observé que le mandat d’expertise du I______ prévoyait la réalisation d’un bilan neuropsychologique, mais que l’expert a indiqué y renoncer en raison de l’importante somnolence qui rendrait difficile l’appréciation des capacités mnésiques de l’intéressé. En l’absence de toute motivation, ses conclusions quant à une pleine capacité de travail, avec une diminution de rendement de 20%, ne sont pas convaincantes. De plus, le neurologue a estimé que l’hémisyndrome sensitivomoteur droit n’avait aucune répercussion sur la capacité de travail (rapport p. 10), tout en retenant que l’évolution de cette dernière dépendrait de celle de ce syndrome d’étiologie indéterminée (rapport p. 14), ce qui est peu compréhensible. On peut également relever que l’expert a noté que l’intéressé « semblait » ne pas utiliser le CPAP (pour Continuous Positive Airway Pressure), qu’il n’était « pas clair » si l’intéressé « utilisait un CAP de façon régulière et pour une durée suffisante chaque jour » (rapport p. 63), ce qui était un facteur d’autolimitation, puisque l’absence de traitement ne permettait pas de diminuer deux des plaintes principales, soit les troubles cognitifs et la somnolence. Il incombait pourtant à l’expert d’apporter des réponses claires concernant l’efficacité du traitement suivi et l’adhésion du recourant. Une lecture attentive du rapport du 2 novembre 2021 du docteur N______, spécialiste FMH en pneumologie et médecine interne, faisant suite à un examen de l’intéressé le jour même pour ses apnées du sommeil, aurait permis à l’expert de constater que le ré-appareillage par CPAP était prévu pour le 15 novembre 2021, soit quelques jours après son examen d’expertise qui a eu lieu le 8 novembre 2021 (rapport p. 4).</w:t>
      </w:r>
    </w:p>
    <w:p>
      <w:r>
        <w:rPr>
          <w:b/>
        </w:rPr>
        <w:t>E. 11.3.2</w:t>
      </w:r>
    </w:p>
    <w:p>
      <w:r>
        <w:t>Sur le plan psychiatrique, l’expert a constaté qu’il n’y avait plus de rapport psychiatrique au dossier depuis celui du Dr D______ du 6 novembre 2017. Or, bien que le recourant lui a déclaré qu’il était toujours suivi par son psychiatre,</w:t>
      </w:r>
    </w:p>
    <w:p>
      <w:r>
        <w:t>A/2631/2023 - 24/27 - l’expert n’a pas sollicité de rapport récent ni contacté le psychiatre traitant. Son appréciation n’a donc pas été rendue en pleine connaissance de cause. L’expert a noté que la concentration était de très bonne qualité durant tout l’entretien, que l’intéressé n’avait pas de trouble de raisonnement ni troubles de sommeil, qu’il était concentré (rapport p. 39), ce qui est en totale contradiction avec l’appréciation de son collègue neurologue, qui a mentionné que le sommeil n’était pas reposant (rapport p 55), que l’intéressé présentait une somnolence diurne si importante qu’il se justifiait de renoncer à l’examen neuropsychologique (rapport p. 61). Dans le même sens, l’expert orthopédique a observé que l’historique de l’état de santé était difficile à reconstituer, car l’expertisé ne se rappelait pas des dates des éventuels accidents ni des dates d’opérations ni même leurs conséquences, ce qui vient conforter l’existence de problèmes mnésiques. L’appréciation de l’expert quant à la rémission du trouble dépressif récurrent repose essentiellement sur le traitement suivi par le recourant, soit un antidépresseur prescrit à la dose minimale efficace de manière stable (Wellbutrin à 150 mg), sans augmentation de dose, ni adjonction d’un autre médicament, depuis au moins avril 2018, ainsi que sur le descriptif de la journée-type et l’examen clinique. Ces éléments sont insuffisants pour s’écarter du diagnostic qui avait été posé non seulement par le psychiatre traitant, mais également pas l’expert mandaté en 2016 et par d’autres médecins psychiatres, notamment dans le cadre d’un consilium psychiatrique de la Clinique romande de réadaptation du 22 février 2011.</w:t>
      </w:r>
    </w:p>
    <w:p>
      <w:r>
        <w:rPr>
          <w:b/>
        </w:rPr>
        <w:t>E. 11.3.3</w:t>
      </w:r>
    </w:p>
    <w:p>
      <w:r>
        <w:t>Les diagnostics posés par le spécialiste en orthopédie sont imprécis et incomplets. En effet, il s’est contenté de rapporter de « multiples interventions » concernant les genoux et a omis de signaler l’opération du 20 décembre 2017 de l’épaule droite. Il n’a pas non plus détaillé les troubles présentés au niveau du rachis. Le diagnostic de « lombalgies chroniques » ne rend par exemple pas compte de la rupture de l’anneau fibreux L5-S1 foraminal gauche constatée lors d’une IRM du 25 juin 2019, mentionnée dans l’annexe de l’expertise</w:t>
      </w:r>
    </w:p>
    <w:p>
      <w:r>
        <w:rPr>
          <w:b/>
        </w:rPr>
        <w:t>E. 11.3.4</w:t>
      </w:r>
    </w:p>
    <w:p>
      <w:r>
        <w:t>Concernant le volet ophtalmologique, il peut également être relevé que l’expert n’a pas cherché à obtenir un dossier complet, dès lors qu’il a constaté qu’il ne disposait d’aucun rapport relatif à l’intervention de l’œil gauche, ce qui ne l’a pas empêché de critiquer l’implant choisi lors de cette opération (rapport p. 95). II n’a pas non plus retenu de greffe de cornée à l’œil droit. Il a constaté une dégradation du champ visuel du bon œil (rapport p. 16) avec notamment une baisse généralisée du contraste (rapport p. 93), tout en relevant que l’acuité visuelle était de 10/10 et que l’intéressé pouvait avoir une vie tout à fait normale et conserver son permis de conduire. En l’absence de toute explication, il n’est pas possible de comprendre en quoi consiste la dégradation précitée. On notera aussi que l’expert n’a fait aucune référence à ce trouble dans la</w:t>
      </w:r>
    </w:p>
    <w:p>
      <w:r>
        <w:t>A/2631/2023 - 25/27 - partie « évaluation consensuelle » (rapport p. 6 et 9), alors qu’il a bien diagnostiqué une pseudophaquie de l’œil gauche à titre d’atteinte sans effets sur la capacité de travail (rapport p. 10). De plus, l’appréciation de l’expert quant à la capacité de travail manque de cohérence. Ce médecin a en effet noté que depuis la dernière décision du 24 novembre 2016, la capacité de travail comme pépiniériste et apiculteur en respectant les limitations fonctionnelles était restée de 100% hormis les périodes pré- et postopératoires dans la spécialisation avec une incapacité de travail de 0% pour trois à quatre semaines (rapport p. 13), alors que de l’avis de tous les spécialistes consultés avant lui, l’activité de pépiniériste-jardinier n’était pas adaptée à l’état de santé du recourant.</w:t>
      </w:r>
    </w:p>
    <w:p>
      <w:r>
        <w:rPr>
          <w:b/>
        </w:rPr>
        <w:t>E. 11.3.5</w:t>
      </w:r>
    </w:p>
    <w:p>
      <w:r>
        <w:t>Compte tenu de tout ce qui précède, aucune valeur probante ne saurait être reconnue au rapport du I______. Le SMR ne pouvait dès lors pas, sur la base de ce document, considérer que l’état de santé du recourant s’était amélioré et que ce dernier disposait d’une capacité de travail de 80% depuis le 18 octobre 2021. Au contraire, il ressort de l’instruction médicale menée dans le cadre de la procédure de révision, confirmée par le rapport d’expertise, que le recourant a présenté de nombreuses nouvelles atteintes à la santé depuis le prononcé de la décision d’octroi de rente. Il a notamment subi des interventions chirurgicales, aux niveaux des deux épaules les 20 décembre 2017 et 30 septembre 2020, au genou gauche le 28 novembre 2018 et au genou droit le 13 septembre 2017. Il a également été opéré de son œil valide en 2018 et des troubles du rachis ont été mis en évidence lors d’un examen radiologique en 2019. Par ailleurs, son syndrome des apnées du sommeil a été considéré comme grave par l’expert neurologue, qui a constaté une somnolence diurne importante, ce qui n’avait pas été le cas en 2016. De même, l’expert a signalé un hémisyndrome droit, non mentionné par les experts en 2016, dont l’éventuelle incidence sur la capacité de travail n’est à ce stade pas claire. Enfin, il est rappelé que le rapport d’expertise ne permet pas de conclure que les troubles ayant justifié l’octroi d’une rente entière en 2016 se seraient amendés.</w:t>
      </w:r>
    </w:p>
    <w:p>
      <w:r>
        <w:rPr>
          <w:b/>
        </w:rPr>
        <w:t>E. 11.3.6</w:t>
      </w:r>
    </w:p>
    <w:p>
      <w:r>
        <w:t>Partant, il y a lieu de considérer que l’intimé a constaté les faits de manière sommaire, sur la base d’une expertise présentant de nombreuses lacunes. Dans de telles circonstances, il n’appartient pas au juge de suppléer aux carences administratives, de sorte que le dossier sera renvoyé à l’intimé pour instruction complémentaire sous la forme d’une expertise. Il appartiendra alors aux nouveaux experts de se déterminer sur l’évolution de l’état de santé et de la capacité de travail du recourant depuis le prononcé de la décision d’octroi de rente du 24 novembre 2016.</w:t>
      </w:r>
    </w:p>
    <w:p>
      <w:r>
        <w:rPr>
          <w:b/>
        </w:rPr>
        <w:t>E. 12</w:t>
      </w:r>
    </w:p>
    <w:p>
      <w:r>
        <w:t>Au vu de ce qui précède, le recours sera partiellement admis et la décision du 19 juin 2023 annulée.</w:t>
      </w:r>
    </w:p>
    <w:p>
      <w:r>
        <w:t>A/2631/2023 - 26/27 - Le recourant, représenté, obtenant partiellement gain de cause, une indemnité de CHF 2'500.- lui sera accordée à titre de participation à ses frais et dépens (art. 61 let. g LPGA ; art. 6 du règlement sur les frais, émoluments et indemnités en matière administrative du 30 juillet 1986 [RFPA - E 5 10.03]), supportée par l’intimé. Au vu du sort du recours, il y a lieu de condamner l'intimé au paiement d'un émolument de CHF 200.- (art. 69 al. 1bis LAI).</w:t>
      </w:r>
    </w:p>
    <w:p>
      <w:r>
        <w:t>***</w:t>
      </w:r>
    </w:p>
    <w:p>
      <w:r>
        <w:t>A/2631/2023 - 27/27 -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