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ATAS/294/2025 vom 16. April 2025</w:t>
      </w:r>
    </w:p>
    <w:p>
      <w:r>
        <w:t>GE Cour de justice, 2025-04-16, FR</w:t>
      </w:r>
    </w:p>
    <w:p>
      <w:r>
        <w:rPr>
          <w:b/>
        </w:rPr>
        <w:t xml:space="preserve">Quelle: </w:t>
      </w:r>
      <w:r>
        <w:t>https://mcp.opencaselaw.ch/entscheid/ge_gerichte_ATAS_294_2025</w:t>
      </w:r>
    </w:p>
    <w:p>
      <w:r>
        <w:t>FR: GE_GERICHTE ATAS/294/2025 du 16 avril 2025</w:t>
      </w:r>
    </w:p>
    <w:p>
      <w:r>
        <w:t>IT: GE_GERICHTE ATAS/294/2025 del 16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56 et 60 al. 1 LPGA) prévus par la loi, le recours est recevable.</w:t>
      </w:r>
    </w:p>
    <w:p>
      <w:r>
        <w:rPr>
          <w:b/>
        </w:rPr>
        <w:t>E. 2</w:t>
      </w:r>
    </w:p>
    <w:p>
      <w:r>
        <w:t>Le litige porte sur le droit éventuel du recourant à une rente d'invalidité entière au-delà du 31 décembre 2023, singulièrement sur sa capacité de travail dans une activité adaptée.</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3.1.1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w:t>
      </w:r>
    </w:p>
    <w:p>
      <w:r>
        <w:t>A/3858/2024 - 10/17 -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 Selon l'art. 17 al. 1 LPGA, la rente d’invalidité est, d’office ou sur demande, révisée pour l’avenir, à savoir augmentée, réduite ou supprimée, lorsque le taux d’invalidité de l’assuré : subit une modification d’au moins 5 points de pourcentage (let. a) ou atteint 100% (let. b).</w:t>
      </w:r>
    </w:p>
    <w:p>
      <w:r>
        <w:rPr>
          <w:b/>
        </w:rPr>
        <w:t>E. 3.1.2</w:t>
      </w:r>
    </w:p>
    <w:p>
      <w:r>
        <w:t>En l’occurrence, le litige porte sur la quotité de la rente d’invalidité, dont il n’est pas contesté que le droit est né antérieurement au 1er janvier 2022. Dans la mesure où le recourant avait, au 1er janvier 2022, 30 ans révolus mais moins de 55 ans, la quotité de sa rente subsistera tant que son taux d’invalidité ne subit pas de modification au sens de l’art. 17 al. 1 LPGA. Si la modification déterminante de son taux d'invalidité se produit après le 31 décembre 2021 (question qui peut demeurer en l'occurrence ouverte au vu du renvoi de la cause à l'intimé pour instruction complémentaire sur le plan médical comme on le verra plus loin), les dispositions de la LAI et du RAI dans leur version en vigueur à partir du 1er janvier 2022 sont applicables.</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w:t>
      </w:r>
    </w:p>
    <w:p>
      <w:r>
        <w:t>A/3858/2024 - 11/17 - V 321 consid. 7.3.1 ; 145 V 209 consid. 5.3 et les références ; 125 V 413 consid. 2d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(ATF 147 V 167 consid. 4.1 et les références).</w:t>
      </w:r>
    </w:p>
    <w:p>
      <w:r>
        <w:rPr>
          <w:b/>
        </w:rPr>
        <w:t>E. 3.3.1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3.3.2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3.3.3</w:t>
      </w:r>
    </w:p>
    <w:p>
      <w:r>
        <w:t>Pour pouvoir calculer le degré d’invalidité, l’administration (ou le juge, s’il y a eu un recours) a besoin de documents qu’un médecin, éventuellement d’autres</w:t>
      </w:r>
    </w:p>
    <w:p>
      <w:r>
        <w:t>A/3858/2024 - 12/17 -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en vigueur depuis le 1er janvier 2022, les SMR établissent les capacités fonctionnelles de l’assuré qui sont déterminantes pour l’assurance- 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ad art. 49 al. 1bis, p. 60]. Un rapport du SMR a pour fonction d'opérer la synthèse des renseignements médicaux versés au dossier, de prendre position à leur sujet et de prodiguer des</w:t>
      </w:r>
    </w:p>
    <w:p>
      <w:r>
        <w:t>A/3858/2024 - 13/17 -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A/3858/2024 - 14/17 -</w:t>
      </w:r>
    </w:p>
    <w:p>
      <w:r>
        <w:rPr>
          <w:b/>
        </w:rPr>
        <w:t>E. 4.1</w:t>
      </w:r>
    </w:p>
    <w:p>
      <w:r>
        <w:t>En l'espèce, la décision litigieuse du 18 octobre 2024 se fonde, sur le plan médical, sur l'avis du SMR du 22 mai 2024 qui confirme celui du 1er novembre 2023. Le SMR a retenu, à titre d'atteintes à la santé incapacitantes, une arthrose radiocarpienne post-traumatique avec status post-arthrodèse totale du poignet gauche, des douleurs neurogènes du nerf radial, des lombalgies chroniques et cervicobrachialgies sur arthrose étagée, une instabilité symptomatique fluctuante du nerf ulnaire droit au coude sans déficit neurologique, un syndrome fémoro- patellaire du genou gauche, et une rectocolite ulcéro-hémorragique stabilisée sous traitement. Le SMR a considéré que la capacité de travail du recourant, nulle dans l'activité habituelle d'étancheur depuis novembre 2018, était de 70% (100% avec une baisse de rendement de 30%) dans une activité adaptée depuis le 21 septembre 2023. Le recourant pouvait exercer une activité purement administrative et mono-manuelle droite, sans utilisation du membre supérieur gauche, sans port répétitif de charges de plus de 5 kg ni mouvements répétés du membre supérieur droit, épargnant le dos et les cervicales (pas de position en porte-à-faux, pas de position penchée en avant, ni de mouvements de torsion, alternance des positions), et lui permettant de se rendre facilement aux toilettes en cas de besoin, ainsi que de faire des pauses. De l'avis unanime des médecins ayant examiné le recourant, ce dernier n'est effectivement plus apte à travailler dans son activité habituelle d'étancheur. En ce qui concerne sa capacité de travail résiduelle dans une activité adaptée, il ressort du dernier rapport du service de chirurgie orthopédique et traumatologie de l'appareil moteur des HUG du 21 septembre 2023 que le recourant, multi-opéré, présente une arthrose radiocarpienne post-traumatique avec status post-arthrodèse totale du poignet gauche, ainsi que des douleurs neurogènes du nerf radial. Il dispose néanmoins d'une capacité de travail entière dans une activité purement administrative ou mono-manuelle. Cela étant, dans son dernier rapport du 23 juin 2023 (dossier intimé pp. 1488- 1489), le rhumatologue traitant a fait état de lombo-radiculalgies bilatérales L5-S1 chroniques, variables et fluctuantes avec épisodes de blocage lombaire, de cervicalgies chroniques avec occasionnelle composante d'irritation du nerf d'Arnold, une instabilité symptomatique fluctuante du nerf ulnaire droit au coude, sans déficit neurologique franc, et un syndrome fémoro-patellaire du genou gauche dans un contexte de surcharge de la facette médiale rotulienne sur raideur des chaînes postérieures et manque de contrôle rotulien dynamique. Le médecin a relevé que le recourant présentait des limitations importantes liées à la force de préhension, au port de charges et à la dextérité fine de la main et du poignet gauche, une limitation liée à la posture statique debout ou assise concernant le dos aussi bien cervical que lombaire et une limitation de mobilité en particulier en force du membre supérieur droit liée au nerf ulnaire droit. S'agissant de la capacité de travail, le spécialiste a estimé que l'ensemble des atteintes à la santé limitait</w:t>
      </w:r>
    </w:p>
    <w:p>
      <w:r>
        <w:t>A/3858/2024 - 15/17 - l'exercice d'une activité professionnelle, même adaptée. Il a invité l'intimé à mettre en œuvre une expertise médicale. Dans un précédent rapport du 25 février 2021, le rhumatologue traitant avait déjà préconisé une expertise médicale, sans se prononcer sur le taux de la capacité de travail du recourant dans une activité adaptée (pp. 1025-1027). Dans un rapport antérieur du 18 juin 2020, le rhumatologue traitant avait estimé qu'une capacité de travail partielle dans une activité adaptée serait envisageable, sans toutefois se déterminer sur l'étendue de la capacité de travail exigible. Sur le plan gastroentérologique, le recourant souffre d'une rectocolite ulcéro- hémorragique. Dans un rapport du 28 octobre 2019, le gastroentérologue traitant a considéré que dans une activité adaptée permettant l'accès facile aux toilettes et sans exposition au soleil, la capacité de travail du recourant est entière pour autant qu'il ne présente pas de poussée inflammatoire (pp. 796-797). Force est de constater que dans son avis du 1er novembre 2023, le SMR, qui n'a pas examiné le recourant, a posé de nouvelles conclusions médicales, ce qu'il ne peut pas faire (arrêt du Tribunal fédéral 9C_581/2007 du 14 juillet 2008 consid. 3.2). En effet, il a conclu, sans l'expliquer, à une baisse de rendement de 30%, alors qu'aucun rapport médical au dossier ne retient ce taux. Le SMR se contente d'indiquer qu'en raison des comorbidités (rhumatologiques et digestives), et de la persistance des douleurs, il est « possible » de reconnaître une baisse de rendement de 30%. Or, il ne formule là qu'une hypothèse. Il ne peut donc pas, à ce stade, être retenu comme établi au degré de la vraisemblance prépondérante que le tableau clinique du recourant implique que sa capacité de travail résiduelle est de 70% dans une activité adaptée. Dès lors qu'il existe des doutes sur la fiabilité de l'appréciation du SMR, il se justifie de renvoyer le dossier à l'intimé afin qu'il mette en œuvre une expertise rhumatologique pour déterminer l'influence des atteintes du recourant sur sa capacité à travailler dans une activité adaptée. Dans le cadre de ce complément d'instruction, il incombera à l'intimé de recueillir toutes les pièces utiles auprès du médecin généraliste et du rhumatologue traitant afin de remettre un dossier complet à l'expert. En effet, ces médecins ont fait mention d'IRM ou d'ENMG (pp. 646, 779-780 ; 781). Or, ces imageries ne figurent pas au dossier. Vu le renvoi du dossier à l'intimé, il lui appartiendra également de demander au gastroentérologue traitant si l'état de santé du recourant, en particulier sa capacité de travail, a évolué depuis le 28 octobre 2019. Après quoi, l'intimé appréciera, à l'aune du nouveau rapport dudit spécialiste, l'opportunité de compléter l'expertise par un volet gastroentérologique. Contrairement à ce que prétend le recourant, on ne peut pas en l'état nier l'existence d'une activité exigible sur le marché équilibré du travail, puisque selon</w:t>
      </w:r>
    </w:p>
    <w:p>
      <w:r>
        <w:t>A/3858/2024 - 16/17 - ses médecins traitants, l'existence d'une activité adaptée n'est en soi pas remise en cause, seule son étendue est litigieuse. Enfin, étant donné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du Tribunal fédéral 9C_87/2022 du 8 juillet 2022 consid. 6.2.1), l'intimé examinera s'il est nécessaire que les constatations médicales (de l'expert) soient complétées par des renseignements d’ordre professionnel, au terme d'un stage dans un centre d'observation professionnel de l'assurance-invalidité.</w:t>
      </w:r>
    </w:p>
    <w:p>
      <w:r>
        <w:rPr>
          <w:b/>
        </w:rPr>
        <w:t>E. 4.2</w:t>
      </w:r>
    </w:p>
    <w:p>
      <w:r>
        <w:t>Au vu de ce qui précède, il est superflu de procéder à l'audition des parties et à celle des médecins traitants.</w:t>
      </w:r>
    </w:p>
    <w:p>
      <w:r>
        <w:rPr>
          <w:b/>
        </w:rPr>
        <w:t>E. 5</w:t>
      </w:r>
    </w:p>
    <w:p>
      <w:r>
        <w:t>En conséquence, le recours sera partiellement admis, la décision litigieuse annulée et la cause renvoyée à l'intimé pour instruction complémentaire au sens des considérants, et nouvelle décision. Le recourant, qui obtient partiellement gain de cause et est assisté d’un avocat, a droit à des dépens, fixés en l'espèce à CHF 1'000.- (art. 61 let. g LPGA ; art. 6 du règlement sur les frais, émoluments et indemnités en matière administrative du 30 juillet 1986 [RFPA - E 5 10.03]). Au vu du sort du recours, il y a lieu de condamner l'intimé au paiement d'un émolument de CHF 200.- (art. 69 al. 1bis LAI).</w:t>
      </w:r>
    </w:p>
    <w:p>
      <w:r>
        <w:t>A/3858/2024 - 17/17 -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