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ATAS/294/2012 vom 20. März 2012</w:t>
      </w:r>
    </w:p>
    <w:p>
      <w:r>
        <w:t>GE Cour de justice, 2012-03-20, FR</w:t>
      </w:r>
    </w:p>
    <w:p>
      <w:r>
        <w:rPr>
          <w:b/>
        </w:rPr>
        <w:t xml:space="preserve">Quelle: </w:t>
      </w:r>
      <w:r>
        <w:t>https://mcp.opencaselaw.ch/entscheid/ge_gerichte_ATAS_294_2012</w:t>
      </w:r>
    </w:p>
    <w:p>
      <w:r>
        <w:t>FR: GE_GERICHTE ATAS/294/2012 du 20 mars 2012</w:t>
      </w:r>
    </w:p>
    <w:p>
      <w:r>
        <w:t>IT: GE_GERICHTE ATAS/294/2012 del 20 marzo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A/3692/2011 - 6/11 -</w:t>
      </w:r>
    </w:p>
    <w:p>
      <w:r>
        <w:rPr>
          <w:b/>
        </w:rPr>
        <w:t>E. 2</w:t>
      </w:r>
    </w:p>
    <w:p>
      <w:r>
        <w:t>La LPGA, entrée en vigueur le 1er janvier 2003, est applicable au cas d'espèce.</w:t>
      </w:r>
    </w:p>
    <w:p>
      <w:r>
        <w:rPr>
          <w:b/>
        </w:rPr>
        <w:t>E. 3</w:t>
      </w:r>
    </w:p>
    <w:p>
      <w:r>
        <w:t>Interjeté dans les forme et délai prescrits par la loi, le présent recours est recevable (art. 56 à 61 LPGA).</w:t>
      </w:r>
    </w:p>
    <w:p>
      <w:r>
        <w:rPr>
          <w:b/>
        </w:rPr>
        <w:t>E. 4</w:t>
      </w:r>
    </w:p>
    <w:p>
      <w:r>
        <w:t>Le litige porte sur le droit de la caisse de sanctionner l'assurée de 22 jours de suspension de l'indemnité.</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w:t>
      </w:r>
    </w:p>
    <w:p>
      <w:r>
        <w:t>a) Selon l’art. 30 al. 1er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1er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ATFA non publié du 12 janvier 2001, C 362/00, consid. 4).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ATFA non publié du 12 janvier 2001, C 362/00, consid. 4). Selon l'art. 30 al. 2, la caisse de chômage est compétente pour statuer sur un cas relevant de la lettre a de l'al. 1. b) Selon l’art. 30 al. 3 LACI, la durée de la suspension est proportionnelle à la gravité de la faute. Ainsi, en cas de faute légère, la durée de la suspension est de 1 à 15 jours (let. a), de 16 à 30 jours en cas de faute de gravité moyenne (let. b) et de 31</w:t>
      </w:r>
    </w:p>
    <w:p>
      <w:r>
        <w:t>A/3692/2011 - 7/11 - à 60 jours en cas de faute grave (let. c) (art. 45 al. 2 OACI). La Cour de céans doit se limiter à examiner si l'administration a fait un usage critiquable de son pouvoir d'appréciation (arrêt 8C 316/07 du 16 avril 2008 consid. 2.2).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 chômage obligatoire et l’indemnité en cas d’insolvabilité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c)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(ATFA non publié du 28 décembre 2005, C 73/03, consid. 3). d)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pas de remplir ses</w:t>
      </w:r>
    </w:p>
    <w:p>
      <w:r>
        <w:t>A/3692/2011 - 8/11 -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w:t>
      </w:r>
    </w:p>
    <w:p>
      <w:r>
        <w:rPr>
          <w:b/>
        </w:rPr>
        <w:t>E. 7</w:t>
      </w:r>
    </w:p>
    <w:p>
      <w:r>
        <w:t>Selon les directives du SECO (bulletin LACI 030, octobre 2011), en application de l'art. 30 al. 1 let. a LACI,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(D18). Lorsqu’un assuré perd son emploi parce qu’il n’accepte pas les modifications du contrat de travail imposées par son employeur (résiliation pour modification du contrat de travail), son droit à l’indemnité est suspendu dans la mesure où le travail refusé restait convenable au sens de l’art. 16 LACI (D19). En application de l'art. 30 al. 1 let d, les directives précisent que le refus d’accepter la modification du contrat de travail au terme du délai de congé est une circonstance indépendante de la résiliation. Ce refus peut être constitutif d’une violation de l’obligation d’accepter un emploi convenable non assigné et donner lieu à une suspension du droit à l’indemnité sur la base de l’art. 30 al. 1 let. d LACI. L’examen de ce motif de suspension relève de la compétence de l’autorité cantonale selon les art. 30 al. 2 LACI et 16 al. 1 OACI. Il en va de même lorsque l’assuré refuse l’offre de l’employeur de poursuivre les rapports de travail au-delà du terme prévu par le contrat de durée déterminée ou par le contrat d’apprentissage (D34).</w:t>
      </w:r>
    </w:p>
    <w:p>
      <w:r>
        <w:rPr>
          <w:b/>
        </w:rPr>
        <w:t>E. 8</w:t>
      </w:r>
    </w:p>
    <w:p>
      <w:r>
        <w:t>En l'espèce, la suspension du droit à l'indemnité est prononcée en application de l'art. 30 al. 1 let. a LACI, bien que l'on ne trouve pas trace d'une disposition légale dans la décision querellée. En effet, l'assurée a été licenciée parce qu'elle n’a pas accepté les modifications du contrat de travail imposées par son employeur (résiliation pour modification du contrat de travail), et il convient de déterminer si le travail refusé restait convenable, en particulier eu égard à la situation personnelle de l'assurée et, dans ce cas, d'examiner la gravité de la faute, la caisse n'étant pas liée par le minimum de 31 jours dans un tel cas. En premier lieu, l'horaire proposé à l'assurée était celui de 13h. à 21h.42 (lundi- vendredi), modifié à sa demande de 13h.30 à 21h.42, ainsi que les samedis et dimanches de 8h. à 17h.12 en alternance avec ses collègues. Il est établi que le tournus des week-ends aurait épargné la recourante le plus possible, la responsable</w:t>
      </w:r>
    </w:p>
    <w:p>
      <w:r>
        <w:t>A/3692/2011 - 9/11 - ayant requis un effort des employés sans enfants. Cet horaire-là aurait toutefois impliqué que l'assurée rentrait à la maison après 22h.30, soit à une heure où ses deux enfants, mais également son mari qui se lève avant 3 heures du matin, doivent déjà dormir, de sorte que l'assurée n'aurait été avec son mari qu'entre 11h. et 12h.30 du lundi au vendredi ainsi que les week-end où elle n'aurait pas travaillé. Par contre, elle aurait été en mesure d'être avec ses deux enfants tous les matins au réveil et au petit déjeuner, de les accueillir à la sortie de l'école à 11h.30, et compte tenu de l'aménagement proposé, de partager avec eux et son mari les repas de midi. Pour le soir, celui-ci aurait été en mesure de s'occuper des deux enfants, de la sortie de l'école à 16h. jusqu'au coucher, sans besoin de faire appel à un tiers. Bien que cette situation soit loin d'être idéale pour l'équilibre familial, elle correspond d'une part à celle de la majorité des femmes actives dans le nettoyage et, surtout, il faut admettre que l'assurée aurait dû l'accepter en tout cas provisoirement, le temps nécessaire soit pour trouver un autre emploi, soit pour obtenir un autre horaire au sein de l'hôpital, possibilité qui avait été réservée. En second lieu, il n'est pas contestable que l'assurée aurait été fondée à refuser l'emploi selon l'horaire du matin (7h.-16h.12) qui l'obligeait à quitter son domicile à Chêne-Bourg à 6h pour arriver à Meyrin avant 7h., compte tenu du travail de nuit de son mari (3h.-10h.30) car l'absence du domicile familial des deux parents du lundi au samedi au réveil des enfants, dont le plus jeune n'a que 4 ans, n'est pas exigible. L'assurée affirme toutefois qu'elle l'aurait accepté si elle avait eu le temps d'organiser la prise en charge de ses enfants le matin. Cela étant, les témoignages concordants des trois témoins contredisent la version de la recourante. Ce n'est pas le 26 novembre 2010 que ce poste a été évoqué, mais le 17 janvier 2011, et c'est à cette occasion, alors qu'il fallait finaliser toute l'organisation et que l'assurée n'avait pas encore cherché de solution pour ses enfants, que la responsable du service hôtelier s'est opposée à attendre encore et, par conséquent, à envisager l'attribution de ce poste à l'assurée. En troisième lieu, au vu du témoignage clair de la responsable du service hôtelier, indirectement confirmé par l'assistante RH, il est établi au degré de la vraisemblance prépondérante que la recourante s'est vue proposer le poste "contrôle", qui lui permettait de conserver strictement le même horaire alors que le cahier des charges modifié n'impliquant manifestement pas que le travail ne serait plus convenable. Le refus de ce poste-là, au début des négociations, n'était pas justifié, et l'assurée a vraisemblablement espéré qu'une meilleure solution se dessinerait. Il est ainsi possible qu'au vu des hésitations de l'assurée durant plusieurs mois, malgré les diverses propositions faites, du besoin légitime de sa hiérarchie de fixer les postes et les horaires à un mois du changement projeté et du litige évoqué par un des témoins concernant la titulaire du poste "contrôle", que ce poste-là n'ait plus été proposé, voire libre lors de l'entretien du 17 janvier 2011 précédant le licenciement.</w:t>
      </w:r>
    </w:p>
    <w:p>
      <w:r>
        <w:t>A/3692/2011 - 10/11 - En conclusion, lors de ce dernier entretien, l'assurée ne pouvait qu'accepter ou refuser l'horaire toujours proposé de 13h.30 à 21h.42 et mentionné sur le document signé le 26 novembre 2010. Le travail modifié proposé restait convenable, en tout cas provisoirement, et en le refusant, l'assurée a pris le risque de voir son contrat de travail résilié. Ce faisant, une suspension de l'indemnité est justifiée, l'assurée étant pour partie responsable de la perte de son emploi. En retenant au vu de l'ensemble des circonstances rappelées ci-dessus que la faute était moyenne, plutôt que grave et en appliquant la moyenne de la durée de la suspension (de 16 à 30 jours, moyenne de 22), la caisse a correctement utilisé son pouvoir d'appréciation et la décision ne prête pas flanc à la critique.</w:t>
      </w:r>
    </w:p>
    <w:p>
      <w:r>
        <w:rPr>
          <w:b/>
        </w:rPr>
        <w:t>E. 9</w:t>
      </w:r>
    </w:p>
    <w:p>
      <w:r>
        <w:t>Ainsi, le recours est rejeté et la procédure est gratuite.</w:t>
      </w:r>
    </w:p>
    <w:p>
      <w:r>
        <w:t>A/3692/2011 - 11/11 -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