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ATAS/293/2023 vom 2. Mai 2023</w:t>
      </w:r>
    </w:p>
    <w:p>
      <w:r>
        <w:t>GE Cour de justice, 2023-05-02, FR</w:t>
      </w:r>
    </w:p>
    <w:p>
      <w:r>
        <w:rPr>
          <w:b/>
        </w:rPr>
        <w:t xml:space="preserve">Quelle: </w:t>
      </w:r>
      <w:r>
        <w:t>https://mcp.opencaselaw.ch/entscheid/ge_gerichte_ATAS_293_2023</w:t>
      </w:r>
    </w:p>
    <w:p>
      <w:r>
        <w:t>FR: GE_GERICHTE ATAS/293/2023 du 2 mai 2023</w:t>
      </w:r>
    </w:p>
    <w:p>
      <w:r>
        <w:t>IT: GE_GERICHTE ATAS/293/2023 del 2 maggio 2023</w:t>
      </w:r>
    </w:p>
    <w:p>
      <w:pPr>
        <w:pStyle w:val="Heading2"/>
      </w:pPr>
      <w:r>
        <w:t>Erwägungen</w:t>
      </w:r>
    </w:p>
    <w:p>
      <w:r>
        <w:rPr>
          <w:b/>
        </w:rPr>
        <w:t>E. 24</w:t>
      </w:r>
    </w:p>
    <w:p>
      <w:r>
        <w:t>juillet 2018 consid. 5). L’amélioration de l’état de santé se détermine notamment en fonction de l’augmentation ou de la récupération probable de la</w:t>
      </w:r>
    </w:p>
    <w:p>
      <w:r>
        <w:t>A/3505/2022 - 15/36 -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w:t>
      </w:r>
    </w:p>
    <w:p>
      <w:r>
        <w:rPr>
          <w:b/>
        </w:rPr>
        <w:t>E. 25</w:t>
      </w:r>
    </w:p>
    <w:p>
      <w:r>
        <w:t>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w:t>
      </w:r>
    </w:p>
    <w:p>
      <w:r>
        <w:t>A/3505/2022 - 16/36 -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A/3505/2022 - 17/36 - caractère adéquat du lien de causalité soit admis (ATF 129 V 402 consid. 4.4.1 et les références ; ATF 115 V 133 consid. 6c/bb ; ATF 115 V 403 consid. 5c/bb). 6.4.1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La survenance d'un accident de gravité moyenne présente toujours un certain caractère impressionnant pour la personne qui en est victime, ce qui ne suffit pas en soi à conduire à l'admission de ce critère (ATF 148 V 138 consid. 5.3.1 et les références). A par exemple été considéré de caractère impressionnant, bien que non dramatique, un accident au cours duquel la main de l'assuré s'est retrouvée entraînée dans une ébavureuse, le fait que ce dernier connaissait les risques inhérents à la machine, qu'il avait réussi à dégager seul sa main et à se donner les premiers soins n'étant nullement propre à relativiser l'émotion violente qu'il avait dû ressentir à cette occasion (arrêt du Tribunal fédéral 8C_175/2010 du 14 février 2011 consid. 5.2). La condition a également été considérée comme remplie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89/99 du 10 juillet 2000 consid. 3b). Ce critère a en outre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des assurances U 18/07 du 7 février 2008). A enfin été qualifié d'accident impressionnant,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w:t>
      </w:r>
    </w:p>
    <w:p>
      <w:r>
        <w:t>A/3505/2022 - 18/36 - A contrario, un accident au cours duquel la main de l'assuré s'est retrouvée coincée dans un appareil de laminage n'a pas été considéré comme impressionnant ou dramatique (arrêt du Tribunal fédéral des assurances U 82/00 du 22 avril 2002 consid. 3.2.1), ni encore celui au cours duquel un travailleur était tombé d'un échafaudage d'une hauteur d'environ 3 à 4 m (arrêt du Tribunal fédéral des assurances U 393/04 du 9 septembre 2004, ni celui à l'occasion duquel un travailleur avait chuté d'une échelle d'une hauteur d'environ 4,5 m dans une fouille (arrêt du Tribunal fédéral des assurances U 144/05 du 27 décembre 2005). La condition n'a pas non plus été considérée comme remplie dans le cas d'un travailleur victime d'un accident dans les circonstances suivantes : une lourde pierre s'était détachée d'un mur haut de 2,70 m d'un immeuble en démolition et lui avait percuté le dos, puis la cheville gauche, alors qu'il s'apprêtait à franchir une fenêtre ; le choc l'avait projeté en avant et il s'était trouvé face contre terre, à cheval sur la base de l'encadrement de la fenêtre (arrêt du Tribunal fédéral des assurances U 338/05 du 24 février 2004). 6.4.2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et les références). Ce critère a par exemple été admis en cas de polytraumatisme suite à un accident de la route (arrêts du Tribunal fédéral 8C_361/2022 du 13 octobre 2022 et 8C_398/2012 du 6 novembre 2012), en cas de lésion de l'œil ayant diminué la vision (arrêt du Tribunal fédéral 8C_965/2008 du 5 mai 2009), en cas d'hypoacousie associée à des acouphènes (arrêt du Tribunal fédéral 8C_612/2019 du 30 juin 2020) ou en cas de fracture à la jambe suivie d'une amputation (arrêt du Tribunal fédéral 8C_528/2021 du 3 mai 2022 consid. 7.3.1). Il a par contre été nié dans le cas d'un assuré blessé à l'épaule gauche qui se prévalait du fait qu'il était entravé dans ses activités quotidiennes avec ses enfants (arrêt du Tribunal fédéral 8C_13/2022 du</w:t>
      </w:r>
    </w:p>
    <w:p>
      <w:r>
        <w:rPr>
          <w:b/>
        </w:rPr>
        <w:t>E. 29</w:t>
      </w:r>
    </w:p>
    <w:p>
      <w:r>
        <w:t>octobre 2018, celui-ci étant de gravité moyenne stricto sensu, et au maximum deux critères développés par la jurisprudence étant remplis. Il n'apparaît pas non plus que les critères en question se soient manifestés de manière particulièrement marquante pour justifier à eux seuls ou cumulés entre eux l'admission de la causalité adéquate, étant précisé que le recourant ne le soutient pas. Dans ces circonstances, la décision de l'intimée d'écarter les troubles psychiques du recourant et de ne pas prester pour ceux-ci doit être confirmée, tant pour ce qui a trait à l'évaluation de la capacité de travail et de l'IPAI que concernant la prise en charge du traitement psychothérapeutique. 11.</w:t>
      </w:r>
    </w:p>
    <w:p>
      <w:r>
        <w:t>11.1 Si l'assuré est invalide (art. 8 LPGA) à 10 %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11.2 Selon l'art. 19 al. 1 LAA, le droit à la rente prend naissance dès qu'il n'y a plus lieu d'attendre de la continuation du traitement médical une sensible amélioration de l'état de l'assuré et que les éventuelles mesures de réadaptation de</w:t>
      </w:r>
    </w:p>
    <w:p>
      <w:r>
        <w:t>A/3505/2022 - 27/36 - l'assurance-invalidité ont été menées à terme. Le droit au traitement médical et aux indemnités journalières cesse dès la naissance du droit à la rente. 12.</w:t>
      </w:r>
    </w:p>
    <w:p>
      <w:r>
        <w:t>12.1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12.2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12.3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12.4 On évaluera le revenu que l'assuré pourrait encore réaliser dans une activité adaptée avant tout en fonction de la situation concrète dans laquelle il se trouve.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«total secteur privé» (ATF</w:t>
      </w:r>
    </w:p>
    <w:p>
      <w:r>
        <w:t>A/3505/2022 - 28/36 - 124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Dans un arrêt de principe, le Tribunal fédéral a récemment estimé qu’il n'y a pas de motif sérieux et objectif de modifier la jurisprudence selon laquelle la détermination du revenu d'invalide sur la base des valeurs statistiques se fonde en</w:t>
      </w:r>
    </w:p>
    <w:p>
      <w:r>
        <w:t>A/3505/2022 - 29/36 - principe sur la valeur centrale, respectivement médiane, de l'ESS (ATF 148 V 174 consid. 9.2.3 et 9.2.4). 12.5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non publié et les références).</w:t>
      </w:r>
    </w:p>
    <w:p>
      <w:r>
        <w:t>A/3505/2022 - 30/36 - 12.6 Le recourant critique le calcul de la perte de gain effectué par l'intimée et soutient qu'il ne peut plus travailler dans le secteur de la construction ou celui de la production compte tenu de ses importantes limitations fonctionnelles, de sorte qu'il faudrait se baser exclusivement sur les salaires statistiques des activités de services. Ce point de vue ne saurait être suivi. La jurisprudence fédérale n'admet le recours à des secteurs particuliers de l'ESS, voire à des branches particulières, que dans des circonstances spécifiques, à savoir lorsque la personne assurée a travaillé dans un domaine durant de nombreuses années avant l'atteinte à la santé et qu'une activité dans un autre domaine n'entre pas en ligne de compte, le but étant ainsi de permettre à l'assuré de mettre pleinement à profit sa capacité résiduelle de travail dans l'activité qui paraît la plus adaptée à sa santé. Or, en l'occurrence, il n'existe pas de circonstances particulières permettant de déroger aux salaires mensuels résultant du tableau TA1_skill_level, à la ligne « total secteur privé ». Le recourant n'a pas travaillé durant de nombreuses années dans la construction avant l'accident et son cas de figure est similaire à celui de personnes assurées ne pouvant plus accomplir leur ancienne activité car elle est physiquement trop astreignante pour leur état de santé, mais qui conservent néanmoins une capacité de travail importante dans des travaux légers. Dans la mesure où le Tribunal fédéral admet que pour ces assurés ce salaire statistique recouvre un large éventail d'activités variées et non qualifiées, le salaire avec invalidité fixé sur cette base par l'intimée doit être confirmé. Par ailleurs, le fait que les Drs G______ et L______ aient évalué différemment le poids que le recourant peut porter n'a pas non plus d'influence sur le revenu avec invalidité, au regard du fait que les statistiques sur lesquelles ce revenu se fonde comprennent un nombre suffisant d'activités légères ne nécessitant pas le port de charges excédant les 3 à 4,5 kg (cf. arrêt du Tribunal fédéral 8C_122/2019 du 10 septembre 2019 consid. 4.3.1.4). À toutes fins utiles, la chambre de céans relève qu'il en serait allé de même si le syndrome lombo-vertébral avait été reconnu incapacitant ainsi qu'en lien de causalité naturelle avec l'accident, le marché équilibré du travail offrant la possibilité d'exercer des activités légères ou alternées entre la position assise et debout compatibles avec les limitations fonctionnelles généralement induites par un tel trouble (cf. arrêt du Tribunal fédéral des assurances I 761/01 du 18 octobre 2002 consid. 2.5 ; arrêt du Tribunal fédéral 8C_299/2010 du 23 juillet 2010 consid. 4.3). Le recourant n'élève pas d'autres griefs à l'encontre du calcul de sa perte de gain opéré par l'intimée et celui-ci apparaît conforme au droit. En particulier, un abattement sur le salaire statistique n'est en l'espèce pas pertinent: le niveau de compétence 1 de l'ESS comprend un grand nombre d'activités légères à moyennement lourdes qui sont compatibles avec les limitations fonctionnelles du recourant (arrêt du Tribunal fédéral 8C_48/2021 du 20 mai 2021 consid. 4.3.4 et</w:t>
      </w:r>
    </w:p>
    <w:p>
      <w:r>
        <w:t>A/3505/2022 - 31/36 - les références), un abattement en raison de l'absence d'expérience et d'ancienneté dans une activité exigible de niveau 1 n'entre pas en ligne de compte (arrêt du Tribunal fédéral 8C_699/2017 du 26 avril 2018 consid.3.2 et les références), ni le fait que le recourant n'est pas Suisse, le Tribunal fédéral ayant indiqué que les titulaires d'une autorisation de séjour ne sont pas moins rémunérés que les personnes de nationalité suisse (ATF 126 V 75 consid. 5) ; le recourant a au surplus été jugé apte à travailler à 100% et n'est pas d'un âge avancé, étant précisé qu'il n'est pas possible d'accorder un abattement sur la base de ce critère lorsqu'on est en présence d'un cas d'application de l'art. 28 al. 4 de l'ordonnance sur l'assurance-accidents du 20 décembre 1982 (OLAA - RS 832.202) (ATF 148 V 419). Les autres paramètres du calcul (prise en compte de l'inflation et de l'horaire hebdomadaire de travail) sont également corrects. Par conséquent, l'octroi d'une rente d'invalidité sur la base d'un taux d'invalidité de 22% est conforme au droit. 13.</w:t>
      </w:r>
    </w:p>
    <w:p>
      <w:r>
        <w:t>13.1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w:t>
      </w:r>
    </w:p>
    <w:p>
      <w:r>
        <w:t>A/3505/2022 - 32/36 -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13.2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des assurances U 134/03 du 12 janvier 2004 consid. 5.2). 14. Depuis le 1er janvier 2016, le montant maximum du gain assuré s’élève à CHF 148'200.- par an et CHF 406.- par jour (art. 22 al. 1 OLAA). 15.</w:t>
      </w:r>
    </w:p>
    <w:p>
      <w:r>
        <w:t>15.1 L’annexe 3 à l'OLAA comporte un barème – reconnu conforme à la loi et non exhaustif (ATF 113 V 218 consid. 2a ; RAMA 1988 p. 236) – des lésions fréquentes et caractéristiques, évaluées en pour cent (ATF 124 V 209 consid. 4bb).</w:t>
      </w:r>
    </w:p>
    <w:p>
      <w:r>
        <w:t>A/3505/2022 - 33/36 -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(ch. 1 al.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15.2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 RAMA 1998 n° U 320 p. 602 consid. 3b).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15.3 Le recourant fait grief à l'intimée d'avoir mal fixé le pourcentage d'atteinte à l'intégrité en raison de ses atteintes physiques. Il soutient qu'il souffre d'une réduction de mobilité au niveau du genou limitant son mouvement et sa rotation, ce qui justifierait une indemnisation selon la table 2 de la SUVA, tandis que le risque d'arthrose post-traumatique justifie une indemnisation selon la table 5 de minimum 15%, voire 30%. Il sied de rappeler que le taux d'une atteinte à l'intégrité doit être évalué exclusivement sur la base de constatations médicales. Or, le recourant ne s'appuie sur aucun élément médical pour critiquer l'appréciation du Dr G______ quant à l'IPAI, qu'il a fixée, après avoir examiné le recourant à trois reprises, sur la base de la table 5 et d'une gonarthrose fémoro-tibiale latérale modérée, ainsi que de son évolution à moyen terme. L'indemnisation selon la table 5 pour ce type d'atteinte</w:t>
      </w:r>
    </w:p>
    <w:p>
      <w:r>
        <w:t>A/3505/2022 - 34/36 - étant comprise entre 5% et 15%, l'octroi d'une IPAI de 10% respecte ce barème. Ceci suffit à rejeter le grief du recourant. À toutes fins utiles, la chambre de céans observe néanmoins que l'octroi d'une IPAI fondée sur la table 2 de la SUVA n'aurait pas été justifiée, dans la mesure où, selon les constatations médicales, le recourant a retrouvé ses amplitudes articulaires au niveau du genou droit. Tel était déjà le cas lors de l'examen du 5 novembre 2019 du Dr G______ et cela a encore été confirmé par la suite au cours des examens physiques réalisés par les Drs H______ et L______, lesquels ont mis en évidence une flexion/extension complète, à tout le moins après la seconde opération de juin 2020. Par conséquent, l'octroi d'une IPAI de 10% ne prête pas le flanc à la critique. 16.</w:t>
      </w:r>
    </w:p>
    <w:p>
      <w:r>
        <w:t>16.1 Aux termes de l'art. 6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Un litige portant sur le droit éventuel à des prestations d'assurance, dont l'examen dépend essentiellement de l'appréciation de rapports médicaux, fonde le droit à des débats publics en procédure cantonale. La requête de tels débats doit néanmoins être formulée de manière claire et indiscutable (ATF 127 V 47). De simples requêtes de preuves, comme des demandes tendant à une comparution ou à une interrogation personnelle, à un interrogatoire des parties, à une audition des témoins ou à une inspection locale, ne suffisent pas pour fonder une semblable obligation (arrêt du Tribunal fédéral 9C_335/2021 consid. 3.1 et les références ; ATF 127 V 47). 16.2 En l'espèce, le recourant a conclu à des mesures d'instruction sous la forme de son audition et celle de ses médecins traitants, en application de l'art. 6 CEDH, ainsi qu'à la réalisation d'une expertise pour déterminer les activités qu'il pourrait exercer compte tenu de l'ensemble de ses atteintes à la santé. Il estime que les auditions requises seraient de nature à permettre d'attester de la réalisation des critères jurisprudentiels afférents à la reconnaissance de la causalité adéquate entre l'accident et ses atteintes à la santé de nature psychique et permettraient de confirmer les contradictions entre les appréciations de ses médecins et celles émanant du médecin-conseil de l'intimée. Ces contradictions justifieraient en outre la mise sur pied d'une expertise. Comme il a été vu plus haut, une pleine valeur probante doit être accordée aux conclusions du médecin d'arrondissement de l'intimée concernant la capacité de travail du recourant dans une activité adaptée. Quant à la question de la causalité adéquate, il s'agit d'une question de droit, et non médicale.</w:t>
      </w:r>
    </w:p>
    <w:p>
      <w:r>
        <w:t>A/3505/2022 - 35/36 - Dans ces circonstances, par appréciation anticipée des preuves (cf. ATF 122 II 469 consid. 4a ; ATF 122 III 223 consid. 3c), une audition des médecins traitants, du recourant, ou la mise en œuvre d'une expertise apparaissent inutiles, la chambre de céans étant en mesure de se prononcer sur la base de l'instruction déjà menée. En outre, si le recourant a invoqué l'art. 6 CEDH qui permet à un justiciable de solliciter la tenue de débats publics pour trancher sa cause, force est de constater qu'il n'a pas explicitement requis la tenue de tels débats, mais s'est contenté de solliciter son audition et celle de ses médecins traitants et de sa psychologue en vue de clarifier des questions médicales afférentes à ses limitations fonctionnelles et à sa capacité de travail, ainsi que la question de la causalité adéquate. Ce faisant, la demande du recourant porte sur l'administration des preuves et ne constitue pas une requête claire et indiscutable de débats publics au sens de l'art. 6 CEDH. Il n'y a par conséquent pas lieu d'ordonner la tenue d'une audience publique sur cette base. 17. Au vu de ce qui précède, le recours est rejeté. Le recourant, qui succombe, n'a pas droit à des dépens (art. 61 let. g LPGA a contrario). Il en va de même de l'intimée qui agit en tant qu'assureur social devant une juridiction de première instance (ATF 126 V 149 consid. 4). Pour le surplus, la procédure est gratuite (art. 61 let. fbis LPGA a contrario).</w:t>
      </w:r>
    </w:p>
    <w:p>
      <w:r>
        <w:t>A/3505/2022 - 36/36 -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