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ATAS/293/2021 vom 31. März 2021</w:t>
      </w:r>
    </w:p>
    <w:p>
      <w:r>
        <w:t>GE Cour de justice, 2021-03-31, FR</w:t>
      </w:r>
    </w:p>
    <w:p>
      <w:r>
        <w:rPr>
          <w:b/>
        </w:rPr>
        <w:t xml:space="preserve">Quelle: </w:t>
      </w:r>
      <w:r>
        <w:t>https://mcp.opencaselaw.ch/entscheid/ge_gerichte_ATAS_293_2021</w:t>
      </w:r>
    </w:p>
    <w:p>
      <w:r>
        <w:t>FR: GE_GERICHTE ATAS/293/2021 du 31 mars 2021</w:t>
      </w:r>
    </w:p>
    <w:p>
      <w:r>
        <w:t>IT: GE_GERICHTE ATAS/293/2021 del 31 marzo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w:t>
      </w:r>
    </w:p>
    <w:p>
      <w:r>
        <w:t>A/2703/2020 - 4/6 - d’exécution fédérales et cantonales, ainsi que la LPGA et ses dispositions d’exécution, sont applicables par analogie en cas de silence de la législation cantonale (art. 1A LPCC).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dans la forme et le délai prescrits, le recours est recevable (art. 56 et 60LPGA ; art. 43 LPCC ; art. 89B de la loi sur la procédure administrative du 12 septembre 1985 (LPA-GE - E 5 10).</w:t>
      </w:r>
    </w:p>
    <w:p>
      <w:r>
        <w:rPr>
          <w:b/>
        </w:rPr>
        <w:t>E. 4</w:t>
      </w:r>
    </w:p>
    <w:p>
      <w:r>
        <w:t>Le litige porte sur le bien-fondé de la décision sur opposition du SPC du 1er septembre 2020.</w:t>
      </w:r>
    </w:p>
    <w:p>
      <w:r>
        <w:rPr>
          <w:b/>
        </w:rPr>
        <w:t>E. 5</w:t>
      </w:r>
    </w:p>
    <w:p>
      <w:r>
        <w:t>Le 1er janvier 2021 est entrée en vigueur la réforme des prestations complémentaires adoptée en mars 2019 par le Parlement. Toutefois, dans la mesure où le présent recours était pendant au 1er janvier 2021 devant la chambre de céans, il reste soumis à l'ancien droit (art. 83 LPGA). Les dispositions légales seront donc citées ci-après dans leur teneur en vigueur jusqu'au 31 décembre 2020.</w:t>
      </w:r>
    </w:p>
    <w:p>
      <w:r>
        <w:rPr>
          <w:b/>
        </w:rPr>
        <w:t>E. 6</w:t>
      </w:r>
    </w:p>
    <w:p>
      <w:r>
        <w:t>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 1 LPC). Selon l’art. 16c de l’ordonnance sur les prestations complémentaires à l’assurance- 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w:t>
      </w:r>
    </w:p>
    <w:p>
      <w:r>
        <w:rPr>
          <w:b/>
        </w:rPr>
        <w:t>E. 7</w:t>
      </w:r>
    </w:p>
    <w:p>
      <w:r>
        <w:t>Selon l’art. 11 al. 1 LPC, les revenus déterminants comprennent notamment, un quinzième de la fortune nette, un dixième pour les bénéficiaires de rentes de vieillesse, dans la mesure où elle dépasse CHF 37'500.- dès le 1er janvier 2011 ; les rentes, pensions et autres prestations périodiques, y compris les rentes de l’AVS et de l’AI (let. d) ; les ressources et parts de fortune dont un ayant droit s’est dessaisi (let. g).</w:t>
      </w:r>
    </w:p>
    <w:p>
      <w:r>
        <w:t>A/2703/2020 - 5/6 - Selon l’art. 23 de l'ordonnance sur les prestations complémentaires à l'assurance- vieillesse, survivants et invalidité du 15 janvier 1971 ; OPC-AVS/AI - RS 831.301),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w:t>
      </w:r>
    </w:p>
    <w:p>
      <w:r>
        <w:rPr>
          <w:b/>
        </w:rPr>
        <w:t>E. 8</w:t>
      </w:r>
    </w:p>
    <w:p>
      <w:r>
        <w:t>En l’espèce, le recourant n’invoque pas de grief sur les montants pris en compte par l’intimé pour établir son droit aux prestations complémentaires dès le 1er juin 2020. Il apparaît que la décision sur opposition querellée a correctement été établie. Il ressort en particulier du plan de calcul annexé à la décision du 2 juillet 2020 que les montants du loyer et de l’épargne pris en compte sont correctement fondés sur les pièces produites et en application des dispositions applicables en la matière. En effet, l’épargne a été mise à jour sur la base de pièces bancaires et le loyer sur la base de l’avis de modification de son loyer du 26 mai 2106, qui est toujours en vigueur, vu l’extrait de compte produit attestant du paiement du loyer par ordre permanent du 10 mars 2020. L’intimé a enfin fixé le loyer déterminant à CHF 5'532.-, en prenant un cinquième du loyer et des charges annuelles, en application de l’art. 16c OPC-AVS/AI, étant précisé que le recourant a informé l’intimé qu’il partageait son appartement avec quatre autres personnes de sa famille.</w:t>
      </w:r>
    </w:p>
    <w:p>
      <w:r>
        <w:rPr>
          <w:b/>
        </w:rPr>
        <w:t>E. 9</w:t>
      </w:r>
    </w:p>
    <w:p>
      <w:r>
        <w:t>Infondé, le recours sera rejeté.</w:t>
      </w:r>
    </w:p>
    <w:p>
      <w:r>
        <w:rPr>
          <w:b/>
        </w:rPr>
        <w:t>E. 10</w:t>
      </w:r>
    </w:p>
    <w:p>
      <w:r>
        <w:t>La procédure est gratuite.</w:t>
      </w:r>
    </w:p>
    <w:p>
      <w:r>
        <w:t>A/2703/2020 - 6/6 -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