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ATAS/293/2020 vom 21. April 2020</w:t>
      </w:r>
    </w:p>
    <w:p>
      <w:r>
        <w:t>GE Cour de justice, 2020-04-21, FR</w:t>
      </w:r>
    </w:p>
    <w:p>
      <w:r>
        <w:rPr>
          <w:b/>
        </w:rPr>
        <w:t xml:space="preserve">Quelle: </w:t>
      </w:r>
      <w:r>
        <w:t>https://mcp.opencaselaw.ch/entscheid/ge_gerichte_ATAS_293_2020</w:t>
      </w:r>
    </w:p>
    <w:p>
      <w:r>
        <w:t>FR: GE_GERICHTE ATAS/293/2020 du 21 avril 2020</w:t>
      </w:r>
    </w:p>
    <w:p>
      <w:r>
        <w:t>IT: GE_GERICHTE ATAS/293/2020 del 21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2</w:t>
      </w:r>
    </w:p>
    <w:p>
      <w:r>
        <w:t>Le délai de recours est de trente jours (art. 60 LPGA ; art. 62 al. 1 de la loi sur la procédure administrative du 12 septembre 1985 [LPA - E 5 10]). Interjeté dans la forme et le délai prévus par la loi, le recours est recevable (art. 56 ss LPGA et 62 ss LPA).</w:t>
      </w:r>
    </w:p>
    <w:p>
      <w:r>
        <w:rPr>
          <w:b/>
        </w:rPr>
        <w:t>E. 3</w:t>
      </w:r>
    </w:p>
    <w:p>
      <w:r>
        <w:t>Le présent litige porte sur le droit de la recourante à une rente d'invalidité. Comme reconnu par l’ATAS/316/2019 précité, le statut de ménagère retenu pour la recourante n’est pas litigieux et requiert l’application de la méthode spécifique d'évaluation de l'invalidité.</w:t>
      </w:r>
    </w:p>
    <w:p>
      <w:r>
        <w:rPr>
          <w:b/>
        </w:rPr>
        <w:t>E. 4</w:t>
      </w:r>
    </w:p>
    <w:p>
      <w:r>
        <w:t>a. Le droit d'être entendu, garanti par les art. 29 al. 2 de la Constitution fédérale de la Confédération suisse du 18 avril 1999 (Cst. - RS 101),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143 V 71 consid. 4.1 ; 132 II 485 consid. 3.2 ; 129 II 497 consid. 2.2 ; 126 I 15 consid. 2/aa). b. Selon l’art. 69 al. 1 let. a LAI, en dérogation à l’art. 52 LPGA, les décisions des offices AI cantonaux peuvent directement faire l’objet d’un recours devant le tribunal des assurances du domicile de l’office concerné. En vertu de l’art. 57a al.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Aux termes de l’art. 73ter du règlement du 17 janvier 1961 sur l’assurance- invalidité du 17 janvier 1961 (RAI - RS 831.201), les parties peuvent faire part à</w:t>
      </w:r>
    </w:p>
    <w:p>
      <w:r>
        <w:t>A/4230/2019 - 22/35 - l’office AI de leurs observations sur le préavis dans un délai de trente jours (al. 1). L’assuré peut communiquer ses observations à l’office AI par écrit ou oralement, lors d’un entretien personnel (al. 2 1ère phr.). À teneur de l’art. 74 RAI, une fois l’instruction de la demande achevée, l’office AI se prononce sur la demande de prestations (al. 1). La motivation tient compte des observations qui ont été faites par les parties sur le préavis, pour autant qu’elles portent sur des points déterminants (al. 2). c. Selon la jurisprudence et la doctrine, le délai de l’art. 73ter LAI est un délai d’ordre qui peut être prolongé pour de justes motifs (ATF 143 V 71 consid. 4.3). Prolongé ou non, il doit être respecté par l’office AI. Ce dernier commet ainsi une violation du droit de l’assuré à être entendu, lorsqu’il statue avant l’échéance du délai imparti à celui-ci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 I 459/02 du 29 octobre 2002 consid. 4 ; Michel VALTERIO, Commentaire de la loi fédérale sur l'assurance-invalidité, 2018, n. 8 ad art. 57a LAI). La circulaire sur la procédure dans l’assurance-invalidité (ch. 3013), dans sa teneur en vigueur depuis le 1er janvier 2018, stipule que le délai de trente jours prévu par l’art. 73ter RAI peut être prolongé dans des cas dûment motivés. Si à l’expiration du délai de trente jours, mais avant que la décision ne soit rendue, l’assuré apporte de nouveaux éléments pouvant influencer la décision, ceux-ci doivent être pris en compte. Dans le cadre de la procédure de préavis, l’office AI ne saurait se limiter à prendre connaissance et à examiner les observations ou les objections de l’assuré. Il doit bien plutôt se prononcer expressément sur les points essentiels justifiant sa décision ou à tout le moins indiquer les raisons pour lesquelles il ne peut prendre en compte certains points de vue (arrêts du Tribunal fédéral 9C_606/2014 du 9 décembre 2014 consid. 2.1 ; 8C_589/2014 du 16 juin 2015). Le droit d’être entendu est ainsi violé lorsque, malgré les objections de l’assuré, la décision est identique à celle du préavis (arrêt du Tribunal fédéral des assurances I 658/04 du 27 janvier 2006 consid. 4 ; Michel VALTERIO, op. cit., n. 9 ad art. 57a LAI).</w:t>
      </w:r>
    </w:p>
    <w:p>
      <w:r>
        <w:rPr>
          <w:b/>
        </w:rPr>
        <w:t>E. 5</w:t>
      </w:r>
    </w:p>
    <w:p>
      <w:r>
        <w:t>a. En l'occurrence, le projet de l’OAI de décision de refus d’octroi de rente, du 3 septembre 2019, a été notifié au plus tôt le lendemain, de sorte que la demande de prolongation de délai formulée le 4 octobre 2019 par l’assurée l’a été dans le délai de trente jours suivant la notification. Par ses plis des 8 et 9 octobre 2019 remettant à celle-ci son dossier (en CD-ROM) conformément à sa demande, l’intimé a accordé implicitement une prolongation du délai pour observations, bien que sans fixer son terme. C’est seulement peu de jours après, le 14 octobre 2019, sans que la</w:t>
      </w:r>
    </w:p>
    <w:p>
      <w:r>
        <w:t>A/4230/2019 - 23/35 - recourante ait eu le temps de formuler de quelconques observations, que l’OAI a rendu la décision querellée, laquelle reprend les termes du projet de décision et constitue de facto une non-entrée en matière sur la demande de prolongation de délai. Ce faisant, l’intimé a adopté un comportement contradictoire, incompatible avec les règles de la bonne foi prescrites par l'art. 5 al. 3 Cst. (à ce sujet, notamment ATF 136 I 254 consid. 5.2). Au surplus, contrairement à ce qu’a énoncé l’OAI dans sa lettre du 5 novembre 2019, il n’est pas requis pour donner une suite favorable à une demande de prolongation du délai d’observations que celle-ci soit accompagnée d’éléments nouveaux, mais il suffit qu’elle repose de justes motifs. Or, dans le laps de temps pour lequel l’assurée avait demandé la prolongation dudit délai, celle-ci a obtenu puis transmis à l’intimé les rapports du 12 novembre 2019 de ses médecin et psychiatre traitants, soit de nouveaux éléments pouvant influencer la décision au sens de la circulaire sur la procédure dans l’assurance-invalidité (ch. 3013). La présentation de ces nouveaux rapports correspondait à un juste motif de prolongation de délai. Dès lors, celle-ci s’avérait justifiée. b. Vu ces circonstances, et comme jugé par le Tribunal fédéral des assurances dans la cause I 459/02 précitée, en ne donnant pas suite à une demande de prolongation de délai justifiée et formulée en temps utile et en adoptant qui plus est un comportement contradictoire, l’intimé a violé le droit d’être entendue de l’assurée. La question de savoir si cette violation du droit d’être entendu a pu être réparée en instance de recours peut demeurer indécise, vu les considérants et le dispositif qui suivent.</w:t>
      </w:r>
    </w:p>
    <w:p>
      <w:r>
        <w:rPr>
          <w:b/>
        </w:rPr>
        <w:t>E. 6</w:t>
      </w:r>
    </w:p>
    <w:p>
      <w:r>
        <w:t>a. Aux termes des art. 8 al. 1 LPGA et 4 al. 1 LAI, est réputée invalidité l'incapacité de gain totale ou partielle qui est présumée permanente ou de longue durée, résultant d'une infirmité congénitale, d'une maladie ou d'un accident. À teneur de l’art. 4 al. 2 LPGA, l’invalidité est réputée survenue dès qu’elle est, par sa nature et sa gravité, propre à ouvrir droit aux prestations entrant en considération. b.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non applicable ici vu la méthode spécifique d'évaluation de l'invalidité)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w:t>
      </w:r>
    </w:p>
    <w:p>
      <w:r>
        <w:t>A/4230/2019 - 24/35 -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c. Conformément à l’art. 28a al. 2 LAI en corrélation avec l’art. 8 al. 3 LPGA, chez les assurés qui – comme la recourante –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(ATF 137 V 334 consid. 3.1.2). Selon l’art. 8 al. 3 2ème phr. LPGA (afférent aux assurés majeurs qui n’exerçaient pas d’activité lucrative avant d’être atteints dans leur santé physique, mentale ou psychique), est applicable par analogie l’art. 7 al. 2 de la même loi (en vigueur dès le 1er janvier 2008), qui dispose que seules les conséquences de l'atteinte à la santé sont prises en compte pour juger de la présence d'une incapacité de gain et que, de plus, il n'y a incapacité de gain que si celle-ci n'est pas objectivement surmontable. Selon la jurisprudence, la notion d'invalidité, au sens du droit des assurances sociales, est une notion économique et non médicale ; ce sont les conséquences économiques objectives de l'incapacité fonctionnelle qu'il importe d'évaluer (ATF 110 V 273 consid. 4a). L’art. 27 1ère phr. RAI, dans sa version en vigueur avant le 1er janvier 2018, précise que par travaux habituels, il faut notamment entendre l'activité usuelle dans le ménage, l'éducation des enfants ainsi que toute activité artistique ou d'utilité publique. La portée du nouvel art. 27 RAI, en vertu duquel, par travaux habituels, visés à l’art. 7 al. 2 de la loi, des assurés travaillant dans le ménage, il faut entendre l’activité usuelle dans le ménage, ainsi que les soins et l’assistance apportés aux proches, n’est pas substantiellement différente s’agissant du présent cas. d.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(sur ce principe général du droit des assurances sociales, voir ATF 123 V 233 consid. 3c ; 117 V 278 consid. 2b, 400 consid. 4b et les arrêts cités).</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w:t>
      </w:r>
    </w:p>
    <w:p>
      <w:r>
        <w:t>A/4230/2019 - 25/35 - 223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 b. Depuis le prononcé de deux arrêts du Tribunal fédéral du 30 novembre 2017, le Tribunal fédéral, la jurisprudence développée pour les troubles somatoformes douloureux - et également applicable notamment à la fibromyalgie (ATF 132 V 65 consid. 4.1) -,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7 et 8).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Les indicateurs standard qui doivent être pris en considération en règle générale conformément à l’ATF 141 V 281 peuvent être classés selon leurs caractéristiques communes : - Catégorie « Degré de gravité fonctionnel » (consid. 4.3) A. Complexe « Atteinte à la santé » (consid. 4.3.1) Expression des éléments pertinents pour le diagnostic (consid. 4.3.1.1), succès du traitement et de la réadaptation ou résistance à cet égard (consid. 4.3.1.2), comorbidités (consid. 4.3.1.3)</w:t>
      </w:r>
    </w:p>
    <w:p>
      <w:r>
        <w:t>A/4230/2019 - 26/35 -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4.5.3 ; arrêt du Tribunal fédéral 9C_14/2018 du 12 mars 2018 consid 2.1).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Une enquête ménagère effectuée au domicile de la personne constitue en règle générale une base appropriée et suffisante pour évaluer les empêchements dans l'accomplissement des travaux habituels (arrêt du Tribunal fédéral 9C_925/2013 du 1er avril 2014 consid. 2.2).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w:t>
      </w:r>
    </w:p>
    <w:p>
      <w:r>
        <w:t>A/4230/2019 - 27/35 -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consid. 4). Même si, compte tenu de sa nature, l'enquête économique sur le ménage est en premier lieu un moyen approprié pour évaluer l'étendue d'empêchements dus à des limitations physiques, elle garde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précité consid. 2.2).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arrêts du Tribunal fédéral 9C_925/2013 précité consid. 2.3 ; 9C_716/2012 du 11 avril 2013, consid. 4.4).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b. Pour pouvoir calculer le degré d'invalidité, l'administration (ou le juge, s'il y a eu un recours) a besoin de documents que le médecin, éventuellement aussi d'autres spécialistes, doivent lui fournir (ATF 122 V 157 consid. 1b). Pour apprécier le droit</w:t>
      </w:r>
    </w:p>
    <w:p>
      <w:r>
        <w:t>A/4230/2019 - 28/35 -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d.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w:t>
      </w:r>
    </w:p>
    <w:p>
      <w:r>
        <w:t>A/4230/2019 - 29/35 - la valeur probante du rapport du médecin concerné et, par conséquent, la violation du principe mentionné (arrêt du Tribunal fédéral 9C_973/2011 du 4 mai 2012 consid. 3.2.1). 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f.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b ; 122 III 219 consid. 3c). Une telle manière de procéder ne viole pas le droit d'être entendu selon l'art. 29 al. 2 Cst. ; SVR 2001 IV n. 10 p. 28 consid. 4b), la jurisprudence rendue sous l'empire de l'art. 4 de l'ancienne Constitution fédérale étant toujours valable (ATF 124 V 90 consid. 4b ; ATF 122 V 157 consid. 1d).</w:t>
      </w:r>
    </w:p>
    <w:p>
      <w:r>
        <w:rPr>
          <w:b/>
        </w:rPr>
        <w:t>E. 10</w:t>
      </w:r>
    </w:p>
    <w:p>
      <w:r>
        <w:t>a. En l’espèce, le droit de la recourante à une rente d'invalidité ne pourrait prendre naissance que six mois après le dépôt de sa demande de prestations AI (art. 29 al. 1 LAI), le 5 juin 2015. b.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w:t>
      </w:r>
    </w:p>
    <w:p>
      <w:r>
        <w:t>A/4230/2019 - 30/35 - dans la mesure où il a trait à la situation antérieure à cette date (cf. ATF 99 V 98 consid. 4 et les arrêts cités ; arrêt du Tribunal fédéral 9C_259/2018 du 25 juillet 2018 consid. 4.2). Partant, doit être prise en compte ci-après la capacité ou non de l'assurée d’effectuer les travaux ménagers jusqu’au 14 octobre 2019.</w:t>
      </w:r>
    </w:p>
    <w:p>
      <w:r>
        <w:rPr>
          <w:b/>
        </w:rPr>
        <w:t>E. 11</w:t>
      </w:r>
    </w:p>
    <w:p>
      <w:r>
        <w:t>a. À la suite du renvoi de la présente cause par la chambre de céans dans son ATAS/316/2019, l’intimé a visé à compléter l’instruction quant aux répercussions des troubles psychiques de la recourante dans la sphère ménagère, et a, comme suggéré à titre d’exemple par ladite chambre, interpelé la Dresse G______ à ce sujet. Des rapports établis alors non seulement par cette psychiatre traitant, mais aussi par la Dresse J______, médecin traitant, de même que par les autres médecins et les experts psychiatre et psychologue, il ressort en particulier ce qui suit. b. Au plan psychiatrique, ont été confirmés les diagnostics posés depuis 2014 par des spécialistes en psychiatrie, non seulement la Dresse G______ mais aussi différents médecins des HUG ainsi que le Pr H______ et Madame I______, à savoir (diagnostics retenus par ces experts) : trouble dépressif récurrent, épisode actuel moyen avec syndrome somatique (F33.11) dès 2005 ; trouble de la personnalité émotionnellement labile, borderline (F60.31) – la psychiatre traitant y ajoutant des traits abandonniques – dès le début de l’âge adulte ; troubles mentaux et du comportement liés à l’utilisation d’alcool, utilisation nocive pour la santé (F10.1) dès 2005. Il découle à tout le moins des avis de la psychiatre traitant et des experts susmentionnés que ces atteintes psychiques entraînaient une diminution pour l’assurée de la capacité d’exécuter des tâches habituelles, en particulier ménagères, avec baisse de rendement. Cela étant, les rapports des 23 août et 12 novembre 2019 de la Dresse G______, s’ils considèrent que les degrés d’empêchements retenus par l’enquête ménagère étaient nettement inférieurs à la réalité, ne font pas état d’une aggravation notable des troubles psychiques de sa patiente, ni ne laissent apparaître des éléments – nouveaux ou anciens – permettant de cerner en quoi précisément lesdits troubles auraient des impacts sur l’accomplissement des travaux ménagers. Au demeurant, ils font état de plusieurs facteurs psychosociaux (les problèmes relatifs à l’appartement, financiers, en lien avec les relations avec la curatrice, les attitudes critiques des autres, etc.), dont la portée par rapport aux atteintes à la santé et aux effets sur la capacité de l’assurée n’a pour l’instant pas été clarifiée. La question pour laquelle la cause a été renvoyée à l’OAI par l’ATAS/316/2019 précité, c’est-à-dire la détermination de l’impact des troubles psychiques de l’assurée sur l’accomplissement des travaux ménagers en lien avec l’enquête ménagère réalisée, n’a ainsi pas reçu une réponse précise, approfondie et suffisante, l’instruction complémentaire menée par l’intimé s’avérant dès lors lacunaire.</w:t>
      </w:r>
    </w:p>
    <w:p>
      <w:r>
        <w:t>A/4230/2019 - 31/35 - c. Au plan somatique, de l’avis de la psychiatre traitant émis le 23 août 2019, les limitations physiques sont désormais, devant les troubles psychiques, au premier plan des causes des empêchements de l’assurée dans l’accomplissement de ses tâches ménagères, sans qu’il soit clairement précisé depuis quand. Dans son rapport du 12 novembre 2019, la médecin traitant a précisé qu’au plan somatique, devant les affections uro-procto-gynécologiques, les polyarthralgies dont souffraient la patiente s’étaient péjorées et étaient devenues les douleurs au premier plan ces derniers mois, concernant lesquelles les rhumatologues des HUG avaient une suspicion de connectivite actuellement inclassable (maladie dysimmunitaire). Or, les atteintes d’ordre rhumatologique (polyarthralgies) dont paraît souffrir l’intéressée ont été relevées par différents médecins depuis le 13 juillet 2013, mais aucune investigation approfondie n’apparaît avoir été effectuée les concernant, ce alors même que la mise en œuvre d’un avis rhumatologique, respectivement d’un bilan rhumatologique a été suggérée le 28 octobre 2014 par les médecins du Centre multidisciplinaire d’étude et de traitement de la douleur des HUG et le 19 janvier 2016 par le SMR. d. Par ailleurs, la Dresse G______ a, dans son rapport du 23 août 2019, mis en exergue que, concernant les constatations du rapport d’enquête ménagère, l’humeur basse de la patiente ravivait et accentuait ses douleurs articulaires et musculaires, spécifiques à la fibromyalgie, baissait son endurance et la rendait incapable pour beaucoup d’heures. Pendant ces moments, elle restait alitée, passive, ayant besoin d’aide et de stimulation pour se réactiver et assumer parfois les moindres activités nécessaires. Il s’agit de la première évocation du diagnostic de fibromyalgie concernant la recourante. Certes, auparavant, depuis le 23 septembre 2014, a été relevé par différents médecins un syndrome douloureux – ou somatique –, avec ou sans lien avec le trouble dépressif récurrent. Ainsi, même avant le prononcé de l’ATAS/316/2019 précité, des douleurs de caractère psychosomatique, telles qu’un trouble somatoforme douloureux ou une fibromyalgie, étaient implicitement envisagées, mais sans concrétisation par une investigation sur cette question. Parallèlement, à l’inverse et en complément de la mise en exergue de l’humeur basse comme cause partielle ou déclencheur partiel de la fibromyalgie, la psychiatre traitant a, dans son rapport du 12 novembre 2019, indiqué que les trois à quatre derniers mois de la recourante avaient été marqués par des souffrances physiques très éprouvantes et des manifestations algiques inflammatoires, avec un impact fort sur ses disponibilités physiques, ses activités quotidiennes, son moral et son image de soi, ses plaintes somatiques et douleurs présentes depuis de nombreux mois l’obligeant à changer souvent de positions, limitant la vitesse des déplacements et « la [forçant] dans les activités même courantes ».</w:t>
      </w:r>
    </w:p>
    <w:p>
      <w:r>
        <w:t>A/4230/2019 - 32/35 - e. En définitive, n’ont pas pu être prise en considération avant et à l’époque du prononcé le 16 avril 2019 de l’ATAS/316/2019, au plan psychiatrique, l’éventuelle fibromyalgie, ni, au plan somatique, les polyarthralgies et la suspicion de connectivite actuellement inclassable (maladie dysimmunitaire). L’existence de telles pathologies de même que leurs conséquences sur la capacité de l’intéressée à exécuter ses tâches quotidiennes, ménagères, ne sont, en l’état actuel du dossier médical, pas suffisamment établies, mais nécessitent un examen, y compris clinique, approfondi par des experts neutres qui soient en mesure de se prononcer notamment sur les interactions entre les troubles psychiques et les affections somatiques. La mise en œuvre d’une expertise pluridisciplinaire, portant sur tous les problèmes d’ordre somatique et les atteintes psychiques, de même que sur les interactions entre elles ainsi que les problèmes psychosomatiques (trouble somatoforme ou fibromyalgie), réalisée à tout le moins par des experts spécialistes en rhumatologie, en médecine interne et en psychiatrie, et comprenant un examen tenant compte des indicateurs standard développés par la jurisprudence (ATF 143 V 409 ; 143 V 418 ; 141 V 281), s’impose donc. Outre les points susmentionnés, ladite expertise devra, comme requis par l’ATAS/316/2019 précité, déterminer l’impact des troubles psychiques de l’assurée sur l’accomplissement des travaux ménagers en lien avec l’enquête ménagère réalisée. Elle examinera en même temps, dans le cadre de la fixation des diagnostics, la question de l’éventuelle existence d’un trouble bipolaire, diagnostiqué pour la première fois le 12 novembre 2019, de manière très peu motivée, par la psychiatre traitant. Contrairement à ce qu’a indiqué le SMR dans son avis du 14 janvier 2020, le fait que les douleurs et la fatigue de la recourante étaient englobées dans le diagnostic de trouble dépressif récurrent avec syndrome somatique ne signifie qu’il en a été suffisamment tenu compte par ledit service médical, l’enquêtrice ménagère et l’intimé dans leurs évaluations, et une telle prise en considération n’apparaît pas suffisamment à la lecture du dossier. À cela s’ajoute que les futures investigations médicales permettront de tenir compte le cas échéant des maladies physiques non prises en considération jusqu’à présent (polyarthralgies et suspicion de connectivite actuellement inclassable). Partant, il ne peut pas être exclu que les appréciations effectuées dans l’enquête ménagère doivent être revues (y compris pour la période à laquelle elle a été effectuée) en particulier au regard des douleurs et limitations mises en avant dans les rapports médicaux ultérieurs au prononcé de l’ATAS/316/2019 précité, qu’elles soient d’origine psychique ou même somatique. Il ne pourra non plus être fait abstraction du fait que la recourante reçoit à certains moments (le week-end et durant la moitié des vacances) ses fils à la maison, ce de manière proportionnelle par rapport au temps consacré. En outre, le fait que le rapport d’expertise établi par le Pr H______ et Mme I______ le 16 décembre 2016 ne s’est pas vu reconnaître une pleine valeur probante par l’ATAS/316/2019 ne</w:t>
      </w:r>
    </w:p>
    <w:p>
      <w:r>
        <w:t>A/4230/2019 - 33/35 - signifie pas que toute valeur probante lui est niée, ni qu’il ne peut pas en être tenu compte sur certains points. Enfin, l’influence des facteurs psychosociaux nécessite un examen et une appréciation circonstanciés, étant rappelé que, d’une part, les contraintes sociales qui ont directement des conséquences fonctionnelles négatives doivent être mises de côté et que, d'autre part, des ressources mobilisables peuvent également être tirées du contexte de vie de l'assuré (arrêt du Tribunal fédéral 9C_756/2018 consid. 5.2.3 et les arrêts cités). La mise en œuvre d’une nouvelle enquête ménagère ne peut en revanche en l’état pas être considérée comme d’emblée indispensable. Au demeurant, d’un point de vue pratique, une telle enquête pourrait difficilement porter sur la situation antérieure à l’aggravation alléguée en 2019 par l’assurée. À cet égard, cette dernière conteste les appréciations contenues dans le rapport d’enquête ménagère établi le 8 janvier 2018 à la suite de la visite du 6 juin 2017, afférentes aux degrés d’empêchements ; elle ne remet pas expressément en question les constatations contenues dans ledit rapport, mais elle décrit ses douleurs, efforts, difficultés et handicaps dans l’accomplissement des tâches habituelles de son ménage d’une manière nettement plus accentuée que ne le fait l’enquêtrice ménagère. Il est précisé que sur ces points, la recourante n’avance pas des éléments substantiellement nouveaux dans ses écritures de la procédure A/4230/2019 par rapport à celles de la procédure A/1065/2018. L’OAI pourrait néanmoins procéder à une nouvelle enquête ménagère si elle devait s’avérer nécessaire, par exemple en cas de détérioration des facultés de l’intéressée par rapport à celles existant au 6 juin 2017. f. Compte tenu du fait que le présent cas requiert le prononcé d’une décision conforme aux règles de procédure, en particulier au droit d’être entendue de l’assurée, ainsi qu’une instruction complémentaire, complète, du dossier de celle-ci, il convient de renvoyer la cause à l'intimé pour qu'il procède notamment à la mise en œuvre d’une expertise pluridisciplinaire, voire à une nouvelle enquête ménagère si nécessaire, puis rende une nouvelle décision, conformément aux considérants qui précèdent. Il est précisé que cette instruction complémentaire devra prendre en considération l’ensemble de la période litigieuse, soit jusqu’au 14 octobre 2019, de même que, par économie de procédure, jusqu’au prononcé de la nouvelle décision qui sera prononcée par l’OAI, avec détermination de l’évolution de l’état de santé et du degré d’empêchement.</w:t>
      </w:r>
    </w:p>
    <w:p>
      <w:r>
        <w:rPr>
          <w:b/>
        </w:rPr>
        <w:t>E. 12</w:t>
      </w:r>
    </w:p>
    <w:p>
      <w:r>
        <w:t>Au vu de ce qui précède, le recours sera partiellement admis, la décision du 14 octobre 2019 sera annulée et le dossier renvoyé à l'intimé afin qu'il procède conformément aux considérants puis rende une nouvelle décision. Bien qu’elle obtienne gain de cause, la recourante n’a pas droit à des dépens. En effet, sa représentante est employée d’un service de l’administration publique, lequel ne tire pas ses ressources de cotisations ou du soutien financier de ses</w:t>
      </w:r>
    </w:p>
    <w:p>
      <w:r>
        <w:t>A/4230/2019 - 34/35 - membres. Il n’y a dès lors pas de justification économique à l’allocation de dépens (cf. par analogie ATF 126 V 11 consid. 5). La procédure n’étant pas gratuite en matière d’assurance-invalidité, l’intimé supporte l’émolument de CHF 500.-, soit plus que l’émolument perçu selon l’ATAS/316/2019 vu le caractère lacunaire de l’instruction complémentaire malgré ce qu’a requis cet arrêt de renvoi (art. 69 al. 1bis LAI). * * * * * *</w:t>
      </w:r>
    </w:p>
    <w:p>
      <w:r>
        <w:t>A/4230/2019 - 35/35 -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