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ATAS/293/2019 vom 16. Juli 2018</w:t>
      </w:r>
    </w:p>
    <w:p>
      <w:r>
        <w:t>GE Cour de justice, 2018-07-16, FR</w:t>
      </w:r>
    </w:p>
    <w:p>
      <w:r>
        <w:rPr>
          <w:b/>
        </w:rPr>
        <w:t xml:space="preserve">Quelle: </w:t>
      </w:r>
      <w:r>
        <w:t>https://mcp.opencaselaw.ch/entscheid/ge_gerichte_ATAS_293_2019</w:t>
      </w:r>
    </w:p>
    <w:p>
      <w:r>
        <w:t>FR: GE_GERICHTE ATAS/293/2019 du 16 juillet 2018</w:t>
      </w:r>
    </w:p>
    <w:p>
      <w:r>
        <w:t>IT: GE_GERICHTE ATAS/293/2019 del 16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se pose en premier lieu la question de la compétence de la Cour de céans pour connaître de la cause que lui a transmise le TAF de manière informelle.</w:t>
      </w:r>
    </w:p>
    <w:p>
      <w:r>
        <w:rPr>
          <w:b/>
        </w:rPr>
        <w:t>E. 2</w:t>
      </w:r>
    </w:p>
    <w:p>
      <w:r>
        <w:t>Aux termes de l’art. 14 de la loi sur la procédure administrative, du 12 septembre 1985 (LPA - E 5 10), la procédure peut être suspendue lorsque son sort dépend de la solution d’une question de nature civile, pénale ou administrative pendante devant une autre autorité, jusqu’à droit connu sur ces questions.</w:t>
      </w:r>
    </w:p>
    <w:p>
      <w:r>
        <w:rPr>
          <w:b/>
        </w:rPr>
        <w:t>E. 3</w:t>
      </w:r>
    </w:p>
    <w:p>
      <w:r>
        <w:t>La question de principe qui se pose dans la présente procédure - soit celle de savoir qui, du TAF ou de la Cour cantonale, est compétent pour connaître de la cause - doit être tranchée par le TAF dans un dossier similaire, pendant devant sa Cour III, par une décision formelle qui pourrait faire l'objet d'un recours auprès du Tribunal fédéral.</w:t>
      </w:r>
    </w:p>
    <w:p>
      <w:r>
        <w:rPr>
          <w:b/>
        </w:rPr>
        <w:t>E. 4</w:t>
      </w:r>
    </w:p>
    <w:p>
      <w:r>
        <w:t>Il convient dès lors de suspendre la présente procédure, dont l'issue dépendra de la manière dont le TAF tranchera cette question de principe.</w:t>
      </w:r>
    </w:p>
    <w:p>
      <w:r>
        <w:t>A/4602/2018 - 4/4 -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