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ATAS/293/2012 vom 20. März 2012</w:t>
      </w:r>
    </w:p>
    <w:p>
      <w:r>
        <w:t>GE Cour de justice, 2012-03-20, FR</w:t>
      </w:r>
    </w:p>
    <w:p>
      <w:r>
        <w:rPr>
          <w:b/>
        </w:rPr>
        <w:t xml:space="preserve">Quelle: </w:t>
      </w:r>
      <w:r>
        <w:t>https://mcp.opencaselaw.ch/entscheid/ge_gerichte_ATAS_293_2012</w:t>
      </w:r>
    </w:p>
    <w:p>
      <w:r>
        <w:t>FR: GE_GERICHTE ATAS/293/2012 du 20 mars 2012</w:t>
      </w:r>
    </w:p>
    <w:p>
      <w:r>
        <w:t>IT: GE_GERICHTE ATAS/293/2012 del 20 marzo 2012</w:t>
      </w:r>
    </w:p>
    <w:p>
      <w:pPr>
        <w:pStyle w:val="Heading2"/>
      </w:pPr>
      <w:r>
        <w:t>Regeste</w:t>
      </w:r>
    </w:p>
    <w:p>
      <w:r>
        <w:t>Résumé: N'est pas manifestement erronée la décision d'octroi d'une rente fondée sur des observations professionnelles et constatant l'impossibilité de mettre concrètement en oeuvre la capacité de travail de l'assuré, alors motivé à reprendre une activité, dans un milieu économique normal. En effet, les observations professionnelles ne contredisaient pas de manière manifeste les constatations médicales et l'instruction était loin d'être lacunaire. Aussi, une évaluation professionnelle, faite 18 ans après l'accident, retenant que l'impossibilité d'exploiter la capacité de travail de l'assuré est due à son déconditionnement et à sa conviction d'être définitivement incapable de travailler, n'est pas déterminante pour apprécier le caractère soutenable de la décision initiale, qui doit être examinée au regard de la situation de fait prévalant à l'époque.</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A/3495/2011 - 14/20 - Sa compétence pour juger du cas d’espèce est ainsi établie.</w:t>
      </w:r>
    </w:p>
    <w:p>
      <w:r>
        <w:rPr>
          <w:b/>
        </w:rPr>
        <w:t>E. 2</w:t>
      </w:r>
    </w:p>
    <w:p>
      <w:r>
        <w:t>la LPGA, entrée en vigueur le 1er janvier 2003 est applicable au cas d'espèce, la reconsidération intervenant en septembre 2010. Du point de vue matériel, l'examen des conditions d'octroi d'une rente d'invalidité en 1998 doit être examiné au regard de l'ancien droit pour la période jusqu'au 31 décembre 2002, sans tenir compte de la LPGA, entrée en vigueur le 1er janvier 2003, et les modifications de la loi fédérale sur l'assurance-invalidité du 21 mars 2003 (4ème révision) et du 6 octobre 2006 (5ème révision), entrées en vigueur le 1er janvier 2004, respectivement, le 1er janvier 2008.</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l'OAI de reconsidérer sa décision d'octroi de 1998, en particulier sur le caractère manifestement erroné de celle-ci, la question d'une révision ne se posant pas.</w:t>
      </w:r>
    </w:p>
    <w:p>
      <w:r>
        <w:rPr>
          <w:b/>
        </w:rPr>
        <w:t>E. 5</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en vigueur jusqu'au 31 décembre 2003 et art 16 LPGA au delà).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2000, consid. 1). En vertu de l’art. 29 al. 1 LAI, le droit à la rente au sens de l’art. 28 prend naissance au plus tôt à la date dès laquelle l’assuré présente une incapacité de gain durable de 40 % au moins, ou dès laquelle l’assuré a présenté, en moyenne, une incapacité de travail de 40 % au moins pendant une année sans interruption notable.</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A/3495/2011 - 15/20 -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w:t>
      </w:r>
    </w:p>
    <w:p>
      <w:r>
        <w:t>A/3495/2011 - 16/20 -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7</w:t>
      </w:r>
    </w:p>
    <w:p>
      <w:r>
        <w:t>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w:t>
      </w:r>
    </w:p>
    <w:p>
      <w:r>
        <w:t>A/3495/2011 - 17/20 -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w:t>
      </w:r>
    </w:p>
    <w:p>
      <w:r>
        <w:rPr>
          <w:b/>
        </w:rPr>
        <w:t>E. 9</w:t>
      </w:r>
    </w:p>
    <w:p>
      <w:r>
        <w:t>Au vu de ce qui précède, le recours sera admis et la décision du 26 septembre 2011 sera annulée au sens des considérants. Le recourant obtenant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A/3495/2011 - 20/20 -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