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ATAS/292/2010 vom 11. März 2010</w:t>
      </w:r>
    </w:p>
    <w:p>
      <w:r>
        <w:t>GE Cour de justice, 2010-03-11, FR</w:t>
      </w:r>
    </w:p>
    <w:p>
      <w:r>
        <w:rPr>
          <w:b/>
        </w:rPr>
        <w:t xml:space="preserve">Quelle: </w:t>
      </w:r>
      <w:r>
        <w:t>https://mcp.opencaselaw.ch/entscheid/ge_gerichte_ATAS_292_2010</w:t>
      </w:r>
    </w:p>
    <w:p>
      <w:r>
        <w:t>FR: GE_GERICHTE ATAS/292/2010 du 11 mars 2010</w:t>
      </w:r>
    </w:p>
    <w:p>
      <w:r>
        <w:t>IT: GE_GERICHTE ATAS/292/2010 del 11 marzo 2010</w:t>
      </w:r>
    </w:p>
    <w:p>
      <w:pPr>
        <w:pStyle w:val="Heading2"/>
      </w:pPr>
      <w:r>
        <w:t>Erwägungen</w:t>
      </w:r>
    </w:p>
    <w:p>
      <w:r>
        <w:rPr>
          <w:b/>
        </w:rPr>
        <w:t>E. 1</w:t>
      </w:r>
    </w:p>
    <w:p>
      <w:r>
        <w:t>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LPGA, entrée en vigueur le 1er janvier 2003 a entraîné la modification de nombreuses dispositions légales dans le domaine de l'assurance-invalidité. Cela étant, les notions et les principes développés jusqu'alors par la jurisprudence en matière d’évaluation de l'invalidité n'ont pas été modifiés par l'entrée en vigueur de la LPGA (voir ATF 130 V 343).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w:t>
      </w:r>
    </w:p>
    <w:p>
      <w:r>
        <w:t>A/3846/2009 - 4/7 -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les atteintes à la santé de la recourante entraînent une perte de gain susceptible de lui ouvrir droit à des prestations de l’assurance-invalidité au-delà du 28 février 2006.</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w:t>
      </w:r>
    </w:p>
    <w:p>
      <w:r>
        <w:t>A/3846/2009 - 5/7 -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L’autorité administrative doit constater d’office les faits déterminants, c’est-à-dire toutes les circonstances dont dépend l’application des règles de droit (ATF 117 V 261 consid. 3 p. 263; T. LOCHER, Grundriss des Sozialversicherungsrecht, Bern 1994, t. 1, p. 438). Elle est ainsi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w:t>
      </w:r>
    </w:p>
    <w:p>
      <w:r>
        <w:t>A/3846/2009 - 6/7 -</w:t>
      </w:r>
    </w:p>
    <w:p>
      <w:r>
        <w:rPr>
          <w:b/>
        </w:rPr>
        <w:t>E. 9</w:t>
      </w:r>
    </w:p>
    <w:p>
      <w:r>
        <w:t>En l'espèce, il apparaît que des investigations médicales complémentaires sont nécessaires, ainsi que l’on relevé tant le Dr N_________ que le Dr O_________, pour évaluer de manière plus précise les répercussions des atteintes à la santé de la recourante sur sa capacité de travail. Des investigations supplémentaires ont été préconisées par le SMR et accueillies favorablement par la recourante. La cause n'étant, de l'avis du Tribunal de céans comme des parties, pas suffisamment instruite pour permettre de se déterminer en connaissance de cause, il convient d’admettre partiellement le recours et de renvoyer la cause à l’intimé pour instruction complémentaire puis nouvelle décision, étant précisé que l’instruction en question consistera notamment, comme convenu lors de l’audience, en une expertise pluridisciplinaire, comportant un volet ORL confié à un médecin spécialisé en neuro-otho-rhino-laryngologie - si possible le Dr Q_________, à défaut, l’un des deux autres médecins mentionnés par le Dr P_________ -, mais également un volet psychiatrique et un volet neurologique, lesquels seront confiés à des spécialistes externes au SMR.</w:t>
      </w:r>
    </w:p>
    <w:p>
      <w:r>
        <w:rPr>
          <w:b/>
        </w:rPr>
        <w:t>E. 10</w:t>
      </w:r>
    </w:p>
    <w:p>
      <w:r>
        <w:t>Il est rappelé que le recourant qui obtient gain de cause a droit au remboursement de ses frais et dépens ainsi que de ceux de son mandataire. Or, tel est le cas en l’espèce dès lors qu’il est avéré que l’instruction du dossier nécessite d’être complétée.</w:t>
      </w:r>
    </w:p>
    <w:p>
      <w:r>
        <w:t>A/3846/2009 - 7/7 -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