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ATAS/291/2026 vom 7. April 2026</w:t>
      </w:r>
    </w:p>
    <w:p>
      <w:r>
        <w:t>GE Cour de justice, 2026-04-07, FR</w:t>
      </w:r>
    </w:p>
    <w:p>
      <w:r>
        <w:rPr>
          <w:b/>
        </w:rPr>
        <w:t xml:space="preserve">Quelle: </w:t>
      </w:r>
      <w:r>
        <w:t>https://mcp.opencaselaw.ch/entscheid/ge_gerichte_ATAS_291_2026</w:t>
      </w:r>
    </w:p>
    <w:p>
      <w:r>
        <w:t>FR: GE_GERICHTE ATAS/291/2026 du 7 avril 2026</w:t>
      </w:r>
    </w:p>
    <w:p>
      <w:r>
        <w:t>IT: GE_GERICHTE ATAS/291/2026 del 7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A/3584/2025 - 4/5 - du 6 octobre 2000 (LPGA - RS 830.1) relatives à la loi fédérale sur l'assurance- maladie, du 18 mars 1994 (LAMal - RS 832.10).</w:t>
      </w:r>
    </w:p>
    <w:p>
      <w:r>
        <w:rPr>
          <w:b/>
        </w:rPr>
        <w:t>E. 1.2</w:t>
      </w:r>
    </w:p>
    <w:p>
      <w:r>
        <w:t>Aux termes de l'art. 58 LPGA, le tribunal des assurances compétent est celui du canton de domicile de l’assuré ou d’une autre partie au moment du dépôt du recours (al. 1). Le tribunal qui décline sa compétence transmet sans délai le recours au tribunal compétent (al. 3).</w:t>
      </w:r>
    </w:p>
    <w:p>
      <w:r>
        <w:rPr>
          <w:b/>
        </w:rPr>
        <w:t>E. 2</w:t>
      </w:r>
    </w:p>
    <w:p>
      <w:r>
        <w:t>En l'occurrence, l’assurée est domiciliée dans le canton de Neuchâtel, de sorte que la chambre de céans n’est pas compétente pour statuer sur son recours pour déni de justice. La cause sera renvoyée à la Cour de droit public du Tribunal cantonal du canton de Neuchâtel. Pour le surplus, la procédure est gratuite.</w:t>
      </w:r>
    </w:p>
    <w:p>
      <w:r>
        <w:t>*****</w:t>
      </w:r>
    </w:p>
    <w:p>
      <w:r>
        <w:t>A/3584/2025 - 5/5 -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