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ATAS/291/2022 vom 28. März 2022</w:t>
      </w:r>
    </w:p>
    <w:p>
      <w:r>
        <w:t>GE Cour de justice, 2022-03-28, FR</w:t>
      </w:r>
    </w:p>
    <w:p>
      <w:r>
        <w:rPr>
          <w:b/>
        </w:rPr>
        <w:t xml:space="preserve">Quelle: </w:t>
      </w:r>
      <w:r>
        <w:t>https://mcp.opencaselaw.ch/entscheid/ge_gerichte_ATAS_291_2022</w:t>
      </w:r>
    </w:p>
    <w:p>
      <w:r>
        <w:t>FR: GE_GERICHTE ATAS/291/2022 du 28 mars 2022</w:t>
      </w:r>
    </w:p>
    <w:p>
      <w:r>
        <w:t>IT: GE_GERICHTE ATAS/291/2022 del 28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1.1</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1.2</w:t>
      </w:r>
    </w:p>
    <w:p>
      <w:r>
        <w:t>La recourante, domiciliée en France, a travaillé avant d'être au chômage pour le compte d'un employeur établi dans le canton de Genève. La chambre de céans est par conséquent compétente ratione loci et materiae pour juger du cas d'espèce.</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t>A/2066/2021 - 4/9 -</w:t>
      </w:r>
    </w:p>
    <w:p>
      <w:r>
        <w:rPr>
          <w:b/>
        </w:rPr>
        <w:t>E. 3.2</w:t>
      </w:r>
    </w:p>
    <w:p>
      <w:r>
        <w:t>Déposé après le 1er janvier 2021, le recours sera donc traité sous l'angle du nouveau droit de la LPGA (cf. ATAS/360/2021 du 15 avril 2021 consid. 3).</w:t>
      </w:r>
    </w:p>
    <w:p>
      <w:r>
        <w:rPr>
          <w:b/>
        </w:rPr>
        <w:t>E. 4</w:t>
      </w:r>
    </w:p>
    <w:p>
      <w:r>
        <w:t>Le délai de recours est de trente jours (art. 56 et 60 LPGA ; art. 62 al. 1 let. a de la loi sur la procédure administrative du 12 septembre 1985 [LPA - E 5 10]).</w:t>
      </w:r>
    </w:p>
    <w:p>
      <w:r>
        <w:rPr>
          <w:b/>
        </w:rPr>
        <w:t>E. 4.1</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rPr>
          <w:b/>
        </w:rPr>
        <w:t>E. 4.2</w:t>
      </w:r>
    </w:p>
    <w:p>
      <w:r>
        <w:t>En l'espèce, quand bien même, dans son courrier du 7 mai 2021, la recourante n'a pas expressément indiqué former recours contre la décision sur opposition du 16 avril 2021, on comprend qu'elle conteste cette décision et demande son annulation. Cet acte de recours, rédigé par une justiciable non représentée par un avocat, satisfait aux exigences, peu élevées, de forme et de contenu prescrites par la loi (art. 61 let. b LPGA ; ATAS/689/2017 du 21 août 2017 consid. 4b). Par ailleurs, ce recours, bien qu'adressé à l'intimée ‒ qui l'a transmis à la chambre de céans comme objet de sa compétence le 16 juin 2021 conformément aux principes légaux applicables ‒ a néanmoins été formé en temps utile. Il sera par conséquent déclaré recevable.</w:t>
      </w:r>
    </w:p>
    <w:p>
      <w:r>
        <w:rPr>
          <w:b/>
        </w:rPr>
        <w:t>E. 5</w:t>
      </w:r>
    </w:p>
    <w:p>
      <w:r>
        <w:t>Le litige porte sur la question de savoir si la recourante peut bénéficier d’une remise de l’obligation de restituer les prestations de l'assurance-maladie obligatoire perçues à tort du 1er mars au 31 décembre 2018 à concurrence de CHF 974.40.</w:t>
      </w:r>
    </w:p>
    <w:p>
      <w:r>
        <w:rPr>
          <w:b/>
        </w:rPr>
        <w:t>E. 6</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On précisera encore que selon l'art. 4 al. 4 de l'ordonnance fédérale sur la partie générale du droit des assurances sociales du</w:t>
      </w:r>
    </w:p>
    <w:p>
      <w:r>
        <w:rPr>
          <w:b/>
        </w:rPr>
        <w:t>E. 11</w:t>
      </w:r>
    </w:p>
    <w:p>
      <w:r>
        <w:t>septembre 2002 (OPGA – RS 830.11), une telle demande doit être déposée au plus tard trente jours à compter de l'entrée en force de la décision de restitution</w:t>
      </w:r>
    </w:p>
    <w:p>
      <w:r>
        <w:t>A/2066/2021 - 5/9 - (arrêt du Tribunal fédéral 8C_814/2017 du 11 mars 2019 consid. 6 et les références). 7.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8.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w:t>
      </w:r>
    </w:p>
    <w:p>
      <w:r>
        <w:t>A/2066/2021 - 6/9 -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dans son courrier du 24 septembre 2020, la recourante n'a pas contesté le bien-fondé de la créance de restitution de l'intimée, ni dans son principe, ni dans sa quotité, mais s'est contentée d'invoquer sa situation financière difficile et sa bonne foi. Aussi l'intimée pouvait-elle traiter la demande de remise de l'obligation de restituer sur le fond comme si la décision de restitution du 28 août 2020 était entrée en force (arrêt du Tribunal fédéral P.63/06 du</w:t>
      </w:r>
    </w:p>
    <w:p>
      <w:r>
        <w:rPr>
          <w:b/>
        </w:rPr>
        <w:t>E. 14</w:t>
      </w:r>
    </w:p>
    <w:p>
      <w:r>
        <w:t>mars 2007 consid. 4.2.2 a contrario). 10.1 La recourante se prévaut de sa bonne foi, en arguant n'avoir jamais été informée du fait que sa situation de chômage en France impliquait automatiquement la résiliation de sa police d'assurance auprès de l'intimée. 10.2 La recourante, en tant que résidente en France et exerçant une activité lucrative en Suisse jusqu'au 28 février 2018, était tenue de s'assurer à l'assurance-maladie suisse (art. 1 al. 2 let. d de l'ordonnance sur l'assurance-maladie du 27 juin 1995 [OAMal - RS 832.102]), à moins d'opter pour</w:t>
      </w:r>
    </w:p>
    <w:p>
      <w:r>
        <w:t>A/2066/2021 - 7/9 - le régime d'assurance-maladie de son pays de résidence selon les modalités de l’exercice du droit d’option en matière d'assurance-maladie entre la Suisse et la France (ATF 135 V 339 consid. 4.3.2 ; ATAS/367/2019 du 24 avril 2019 consid. 4-5), ce qu'elle n'avait pas fait. Comme elle le relève, au bénéfice ensuite de prestations françaises de chômage à compter du 1er mars 2018, elle était en réalité exemptée d'office de l'obligation de s'assurer en Suisse dès cette date (art. 2 al. 1 let. d OAMal ; ATAS/944/2016 du 16 novembre 2016 consid. 10). Le point de savoir si on peut lui reprocher ou non d'avoir commis une violation de l'obligation d'aviser, en n'annonçant pas à l'intimée la perception d'indemnités de chômage en France, peut demeurer ouverte, car là n'est pas la question. En effet, quoi qu'en dise la recourante, la chambre de céans constate que, durant la période litigieuse du 1er mars au 31 décembre 2018, celle-ci a, à sa demande, obtenu de l'intimée le remboursement de frais médicaux à hauteur de CHF 974.40, alors qu'elle était également affiliée auprès de la sécurité sociale française pour la prise en charge de ses frais de santé. Elle s'était donc retrouvée, en connaissance de cause, dans une situation de double affiliation pour le même risque (maladie). Or, le citoyen lambda aurait évité une situation d’affiliation simultanée (qui entraîne le paiement de primes), et pour ce faire, se serait renseigné, et aurait donc déclaré à son assureur-maladie suisse sa couverture d'assurance-maladie à l'étranger. Toujours est-il que la recourante, sans emploi, n'aurait pas manqué d'informer l'intimée en mars 2018 déjà de son affiliation auprès de la sécurité sociale française (gratuite de son aveu) à partir du 1er mars 2018 si elle avait payé personnellement les primes de l'assurance-maladie suisse, d'un montant mensuel ‒ élevé ‒ de CHF 465.-. D'après le certificat d'assurance 2018, cette prime mensuelle était facturée au cocontractant de la convention-cadre, à savoir l'employeur de l'époux, et non pas à la recourante, bien qu'elle fût la personne assurée (à l'époque). Celle-ci a signalé à l'intimée l'existence de sa couverture d'assurance en France deux ans plus tard uniquement lorsque, la sécurité sociale française qui avait cessé de prester, requérait de la part de l'intimée le formulaire E108 dûment complété pour pouvoir continuer à indemniser la recourante. Pourtant, cette dernière savait qu'en sa qualité de frontalière (résidente française travaillant en Suisse), l'assureur-maladie suisse prenait en charge ses frais de traitements prodigués en France (art. 17 du Règlement [CE] no 883/2004 du Parlement européen et du Conseil du 29 avril 2004 portant sur la coordination des systèmes de sécurité sociale, applicable pour la Suisse dès le 1er avril 2012 [RS 0.831.109.268.1] ; voir également dans le même sens : art. 19 al. 1 let. a du Règlement [CEE] n°1408/71 du Conseil du 14 juin 1971 relatif à l'application des régimes de sécurité sociale aux travailleurs salariés, aux travailleurs non salariés et aux membres de leur famille qui se déplacent à l'intérieur de la Communauté européenne, en vigueur du 1er juin 2002 au 31 mars 2012).</w:t>
      </w:r>
    </w:p>
    <w:p>
      <w:r>
        <w:t>A/2066/2021 - 8/9 - Il s'ensuit que la recourante pouvait, dès le 1er mars 2018, demander tant à l'assureur-maladie suisse qu'à la sécurité sociale française le paiement de ses factures de traitements médicaux suivis en France. Elle ne pouvait ignorer que cette « faculté » découlait de son affiliation simultanée aux régimes suisses et français d’assurance-maladie. En tant que cette circonstance lui était à l'évidence connue, il lui incombait de l'annoncer à l'intimée, conformément à l'art. 5 ch. 1 des dispositions d'exécution complémentaires à l'assurance obligatoire des soins selon la LAMal jointes au certificat d'assurance 2018, aux termes duquel « l'assuré est tenu d'informer l'assureur de toute prestation de tiers (p. ex. assurance-accidents, assurance RC, assurance militaire ou d'invalidité, assurance complémentaire privée) pour autant que l'assureur doive allouer des prestations d'assurance pour le même cas d'assurance ». Force est de conclure que, la recourante, en ne déclarant pas à l'intimée son affiliation simultanée auprès de l'assureur social français qui la couvrait pour le même risque, a ‒ en tout cas ‒ fait preuve de négligence grave au sens de la jurisprudence. 10.3 L'intimée était par conséquent fondée à nier sa bonne foi, et à ne pas examiner si la restitution des prestations perçues indûment pourrait la mettre dans une situation difficile, les deux conditions de la remise de l'obligation de restituer étant cumulatives. 11. Aussi le recours ne peut-il être que rejeté. Pour le surplus, la procédure est gratuite (art. 61 let. fbis a contrario LPGA). * * * * * *</w:t>
      </w:r>
    </w:p>
    <w:p>
      <w:r>
        <w:t>A/2066/2021 - 9/9 -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