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ATAS/291/2021 vom 31. März 2021</w:t>
      </w:r>
    </w:p>
    <w:p>
      <w:r>
        <w:t>GE Cour de justice, 2021-03-31, FR</w:t>
      </w:r>
    </w:p>
    <w:p>
      <w:r>
        <w:rPr>
          <w:b/>
        </w:rPr>
        <w:t xml:space="preserve">Quelle: </w:t>
      </w:r>
      <w:r>
        <w:t>https://mcp.opencaselaw.ch/entscheid/ge_gerichte_ATAS_291_2021</w:t>
      </w:r>
    </w:p>
    <w:p>
      <w:r>
        <w:t>FR: GE_GERICHTE ATAS/291/2021 du 31 mars 2021</w:t>
      </w:r>
    </w:p>
    <w:p>
      <w:r>
        <w:t>IT: GE_GERICHTE ATAS/291/2021 del 31 marzo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1er janvier 2021 est entrée en vigueur la modification du 21 juin 2019 de la LPGA. Toutefois, dans la mesure où le présent recours était, au 1er janvier 2021, pendant devant la chambre de céans, il reste soumis à l'ancien droit (cf. art. 83 LPGA).</w:t>
      </w:r>
    </w:p>
    <w:p>
      <w:r>
        <w:rPr>
          <w:b/>
        </w:rPr>
        <w:t>E. 3</w:t>
      </w:r>
    </w:p>
    <w:p>
      <w:r>
        <w:t>À teneur de l'art. 1 al. 1 LAI, les dispositions de la LPGA s'appliquent à l'assurance- invalidité, à moins que la loi n'y déroge expressément.</w:t>
      </w:r>
    </w:p>
    <w:p>
      <w:r>
        <w:rPr>
          <w:b/>
        </w:rPr>
        <w:t>E. 4</w:t>
      </w:r>
    </w:p>
    <w:p>
      <w:r>
        <w:t>Interjeté dans les forme et délai prévus par la loi, le recours est recevable (art. 56 et 60 LPGA ; art. 89B de la loi sur la procédure administrative du 12 septembre 1985 [LPA - E 5 10] ; art. 1 et 2 de l'ordonnance sur la suspension des délais dans les procédures civiles et administratives pour assurer le maintien de la justice en lien avec le coronavirus [COVID-19] du 20 mars 2020).</w:t>
      </w:r>
    </w:p>
    <w:p>
      <w:r>
        <w:rPr>
          <w:b/>
        </w:rPr>
        <w:t>E. 5</w:t>
      </w:r>
    </w:p>
    <w:p>
      <w:r>
        <w:t>Le litige porte sur le point de savoir si c’est à bon droit que l’intimé a octroyé au recourant seulement trois quarts de rente d’invalidité, limitée du 1er mars au 31 août 2017.</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w:t>
      </w:r>
    </w:p>
    <w:p>
      <w:r>
        <w:t>A/1418/2020 - 10/21 -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 au moins, à un trois-quarts de rente s'il est invalide à 60 % au moins, à une demi-rente s’il est invalide à 50 %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A/1418/2020 - 11/21 -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A/1418/2020 - 12/21 -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a. En l’occurrence, l’intimé a retenu qu’en raison de ses atteintes somatiques, le recourant a présenté une incapacité de travail totale de 60 % dans toute activité dès le 26 juin 2015, et une capacité entière dans une activité adaptée dès le 20 juin 2017. b. Sur le plan somatique, le recourant ne conteste pas les diagnostics retenus par l’intimé, soit un écrasement du pouce gauche avec fracture comminutive de la 1ère phalange et une arthrose post-traumatique métacarpo-phalangienne du pouce gauche traitée par prothèse (avis du SMR du 7 février 2018). Il fait toutefois valoir que les limitations fonctionnelles prises en compte ne correspondraient pas à la réalité. Dans le cadre de l’avis précité, le SMR a retenu qu’en raison de ses atteintes, le recourant présente une diminution de la mobilité du pouce gauche (côté dominant), pas de port de charges de plus de 15 kg, pas d’utilisation d’outils lourds ou vibratoires, pas de travail nécessitant une force de serrage ou une préhension de la main gauche, pas de maniement d’outils en force, pas de travail nécessitant un usage simultané des deux mains, pas de travail en hauteur sur une échelle ou un échafaudage. Dès le 26 juin 2015, le recourant avait une capacité de travail de 40 % dans la part administrative de son activité habituelle ; dès le 20 juin 2017, il présentait une capacité de travail totale dans une activité adaptée. Si le SMR n’a certes pas examiné le recourant, il n’en demeure pas moins qu’il s’est fondé, pour rendre ses conclusions sur les limitations fonctionnelles présentées par l’intéressé, sur les rapports établis par le Dr D______, médecin spécialisé en chirurgie orthopédique. Or, ce médecin a non seulement pris connaissance de dossier du recourant, mais il a également effectué un examen clinique de l’intéressé le 20 juin 2017, avant de rendre ses conclusions le 23 juin 2017, complétées par une</w:t>
      </w:r>
    </w:p>
    <w:p>
      <w:r>
        <w:t>A/1418/2020 - 13/21 - description détaillée des limitations fonctionnelles ressortant du document du service médical de la SUVA du 16 août 2017. Comme l’a déjà relevé la chambre de céans dans la procédure opposant le recourant à la SUVA (cf. ATAS/690/2019 du 6 août 2019 consid. 8), aucun avis médical versé au dossier ne justifie que l’on mette en doute les conclusions du Dr D______. Au contraire, le Dr C______ a également retenu que le recourant, malgré ses atteintes à la main gauche, présente une capacité de travail dans une activité adaptée (cf. ses rapports des 31 mars et 9 juillet 2017). Le recourant fait valoir que l’expertise du Dr D______, datant de 2017, ne peut refléter ses limitations somatiques, dès lors que de nouveaux éléments seraient intervenus. A cet égard, il allègue qu’il ne peut effectuer que des activités sans port de charges de plus de 5 kg et sans solliciter sa main gauche. Or, force est de constater que le recourant ne produit aucun élément étayant ses affirmations et attestant l’existence d’une péjoration de ses limitations fonctionnelles qui serait survenue postérieurement à l’examen clinique effectué le 20 juin 2017 par le Dr D______. Qui plus est, aucun rapport figurant au dossier ne conclut à l’impossibilité pour le recourant d’exercer une activité adaptée, à 40 %, dès le 26 juin 2015, et à 100 %, dès le 20 juin 2017. Par conséquent, il n’y a pas lieu de s’écarter des conclusions du Dr D______, lesquelles ont pleine valeur probante et sur lesquelles le SMR s’est fondé. C’est ainsi, à juste titre, que l’intimé a retenu que le recourant présente, au degré de la vraisemblance prépondérante, une incapacité de travail de 60 % dans toute activité dès le 26 juin 2015, et une capacité de travail totale dans une activité adaptée aux limitations fonctionnelles précitées, dès le 20 juin 2017, date à laquelle le Dr D______ a constaté la stabilisation de sa situation médicale (cf. rapport du 23 juin 2017). c. Sur le plan psychique, le recourant fait valoir l’absence d’instruction médicale portant sur son état de santé. En l’occurrence, on relèvera que c’est dans le cadre de son recours que le recourant fait état, pour la première fois, de l’existence d’une atteinte psychique. Il ne saurait dès lors reprocher à l’intimé de ne pas avoir effectué d’instruction sur ce point. Quoi qu’il en soit, s’il apparaît que le recourant a certes présenté un trouble de l’adaptation avec une réaction dépressive brève (F43.2), il n’en demeure pas moins que cette atteinte n’a entraîné aucune incapacité de travail de longue durée. En effet, le Dr E______, psychiatre traitant, n’a fait état que d’une incapacité de travail passagère de moins de quatre mois, soit du 9 octobre 2019 au 31 janvier 2020 (rapport du 10 juillet 2020). En l’absence d’une atteinte psychique entraînant une incapacité de travail durable, il n’y a donc pas lieu de procéder à une instruction complémentaire, ni de donner suite à la demande du recourant portant sur la mise en œuvre d’une expertise judiciaire.</w:t>
      </w:r>
    </w:p>
    <w:p>
      <w:r>
        <w:t>A/1418/2020 - 14/21 -</w:t>
      </w:r>
    </w:p>
    <w:p>
      <w:r>
        <w:rPr>
          <w:b/>
        </w:rPr>
        <w:t>E. 13</w:t>
      </w:r>
    </w:p>
    <w:p>
      <w:r>
        <w:t>Reste encore à déterminer le degré d’invalidité présenté par le recourant, dont le statut est celui d’un assuré actif à 100 %. On précisera d’emblée que l'intimé était en droit de procéder à l'évaluation de l'invalidité du recourant indépendamment de celle effectuée, le 6 août 2019, par la chambre de céans dans la procédure opposant l’intéressé à la SUVA. En effet, selon la jurisprudence, l'assurance-invalidité n’est pas liée par l'évaluation de l'invalidité effectuée par l'assurance-accidents (cf. ATF 133 V 549 ; ATF 126 V 288).</w:t>
      </w:r>
    </w:p>
    <w:p>
      <w:r>
        <w:rPr>
          <w:b/>
        </w:rPr>
        <w:t>E. 14</w:t>
      </w:r>
    </w:p>
    <w:p>
      <w:r>
        <w:t>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c. Quant au revenu d'invalide, il doit être évalué avant tout en fonction de la situation professionnelle concrète de l'intéressé (ATF 135 V 297 consid. 5.2). Lorsque l'assuré n'a pas repris d'activité, ou aucune activité adaptée lui permettant</w:t>
      </w:r>
    </w:p>
    <w:p>
      <w:r>
        <w:t>A/1418/2020 - 15/21 -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15</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w:t>
      </w:r>
    </w:p>
    <w:p>
      <w:r>
        <w:t>A/1418/2020 - 16/21 - éventuelle réduction du salaire statistique (ATF 119 V 475 consid. 2b; arrêt du Tribunal fédéral 8C_312/2016 du 13 mars 2017 consid. 5.4; arrêts du Tribunal fédéral des assurances I 43/05 du 30 juin 2006 consid. 5.2).</w:t>
      </w:r>
    </w:p>
    <w:p>
      <w:r>
        <w:rPr>
          <w:b/>
        </w:rPr>
        <w:t>E. 16</w:t>
      </w:r>
    </w:p>
    <w:p>
      <w:r>
        <w:t>a.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b.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c.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w:t>
      </w:r>
    </w:p>
    <w:p>
      <w:r>
        <w:t>A/1418/2020 - 17/21 -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17</w:t>
      </w:r>
    </w:p>
    <w:p>
      <w:r>
        <w:t>mai 2018 consid. 5). Il a ainsi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 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termes de facilité d’intégration sur le marché du travail (arrêt du Tribunal fédéral 9C_375/2019 du 25 septembre 2019 consid. 7.3). En l’occurrence, il résulte de l’extrait de compte individuel établi le 15 mai 2017 (pièce 23 du dossier de l’intimé) que le recourant a non seulement travaillé pour un certain nombre d’employeurs différents entre 1988 et 2015, mais qu’il s’est également consacré pendant plusieurs années à l’exercice d’une activité en tant qu’indépendant. Force est dès lors de retenir que l’intéressé disposait, en 2017, d’une grande capacité d’adaptation qui lui permettait de compenser les éventuels inconvénients liés à son âge. Cela étant dit, la chambre de céans ne s’écartera toutefois pas de l’abattement de 10 % appliqué par l’intimé. Partant, le revenu avec invalidité était, en 2017, de CHF 60'391.- (67'101 – 6’710). Par ailleurs, on relèvera que les arguments avancés par le recourant ne permettent pas de renoncer à la prise en compte de ce revenu. On rappellera que le caractère irréaliste des possibilités de travail doit découler de l'atteinte à la santé – puisqu'une telle atteinte est indispensable à la reconnaissance d'une invalidité et non de facteurs psychosociaux ou socioculturels qui sont étrangers à la définition juridique de l’invalidité (cf. arrêt du Tribunal fédéral 8C_175/2017 du 30 octobre 2017 consid. 4.2). Or, dans le cas d'activités mono-manuelles légères, le Tribunal fédéral a, à plusieurs reprises, admis que le gain d'invalide soit fixé en référence au revenu</w:t>
      </w:r>
    </w:p>
    <w:p>
      <w:r>
        <w:t>A/1418/2020 - 19/21 - tiré des ESS, activités simples et répétitives pour un homme, ligne totale, niveau 1, (arrêts du Tribunal fédéral 9C_633/2016 du 28 décembre 2016 consid. 4.3 et 8C_670/2015 du 12 février 2016 consid. 4.3). Ce revenu statistique est donc applicable au recourant, lequel peut encore utiliser sa main gauche, dans une certaine mesure. En outre, le manque de formation invoqué par le recourant n'est pas déterminant dès lors qu'il s'agit d'un facteur étranger à l'invalidité (arrêt du Tribunal fédéral 9C_474/2010 du 11 avril 2011 consid. 3.2). Qui plus est, le manque d’expérience d’un assuré dans une nouvelle profession ne constitue pas un facteur susceptible de jouer un rôle significatif sur les perspectives salariales, lorsque les activité envisagées (simples et répétitives de niveau de compétence 1) ne requièrent ni formation, ni expérience professionnelle spécifique (arrêt du Tribunal fédéral 8C_103/2018 du 25 juillet 2018 consid. 5.2 et les références). De surcroît, des connaissances linguistiques limitées en français sont aussi un facteur étranger à l'invalidité (arrêt du Tribunal fédéral 9C_344/2015 du 25 novembre 2015 consid. 2.3). Au demeurant, les activités simples et répétitives, qui correspondent au niveau 4 jusqu'à l'ESS 2010 et au niveau 1 dès l'ESS 2012, ne supposent pas de bonnes connaissances linguistiques (arrêt du Tribunal fédéral 9C_426/2014 du 18 août 2014 consid. 4.2). Enfin, le recourant fait valoir qu’il ne serait pas en mesure de retrouver un emploi, dès lors qu’il se trouverait proche de l'âge donnant droit à une rente de vieillesse. On rappellera qu’en 2017, le recourant était alors âgé de 57 ans, de sorte qu’il disposait encore, avant d’atteindre l’âge de la retraite, d’une durée prévisible des rapports de travail longue de huit ans. Qui plus est, non seulement son atteinte se limitait à sa main gauche, mais il bénéficiait encore d’une capacité de travail totale, de sorte qu’un grand nombre d’activités adaptées restait exigible de sa part. De surcroît, il pouvait compter sur ses grandes capacités d'adaptation à un nouvel emploi, comme cela résulte des inscriptions figurant dans son extrait de compte individuel. Il était donc exigible de sa part qu’il se réinsère sur le marché du travail à compter de juin 2017. b/b. S’agissant du revenu sans invalidité, l’intimé a retenu un montant de CHF 67'022.-, que le recourant conteste en faisant valoir que son revenu doit se fonder sur le salaire qu’il obtenait auprès de son employeur avant son accident pour son activité effectuée à 62.5 %, converti à un taux d’occupation de 100 %, soit CHF 88'320.-. La question de savoir si le revenu sans invalidité du recourant en 2017 doit être déterminé selon les ESS, comme l’a fait l’intimé, ou selon le salaire perçu par le recourant auprès de son ancien employeur, comme l’invoque l’intéressé, peut, en l’occurrence, rester ouverte. En effet, quand bien même on tiendrait compte d’un salaire de CHF 88'320.- pour un plein temps, le degré d’invalidité du recourant serait tout de même insuffisant pour le maintien d’une rente au-delà du 31 août 2017. En effet, la comparaison des salaires sans et avec invalidité aboutirait alors à</w:t>
      </w:r>
    </w:p>
    <w:p>
      <w:r>
        <w:t>A/1418/2020 - 20/21 - un degré d’invalidité de 32 % (88’320 – 60’391 / 88’320 x 100), soit un taux inférieur à 40 %. Qui plus est, même en prenant en considération un salaire sans invalidité plus élevé, tel que celui retenu par la chambre de céans dans le cadre de la procédure opposant le recourant à la SUVA, soit CHF 92'160.- en 2017 (ATAS/690/2019 du 6 août 2019 consid. 9), le degré d’invalidité obtenu, soit 34 % (92'160 – 60’391 / 92’160 x 100), serait encore insuffisant pour le maintien du droit à la rente. Enfin, contrairement à ce que fait valoir l’intéressé, dans la mesure où il s’est vu reconnaître un statut d’actif à 100 %, aucun préjudice ménager ne peut être, en plus, pris en compte.</w:t>
      </w:r>
    </w:p>
    <w:p>
      <w:r>
        <w:rPr>
          <w:b/>
        </w:rPr>
        <w:t>E. 18</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b.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En l’occurrence, en raison d’un degré d’invalidité de 60 % dès juin 2016, le recourant a droit au versement d’un trois quarts de rente d’invalidité à compter du mois du 1er mars 2017, vu le dépôt tardif, le 16 septembre 2016, de sa demande de prestations (cf. art. 29 al. 1 LPGA). Suite à l’amélioration de sa capacité de gain survenue en juin 2017, le recourant a présenté un degré d’invalidité inférieur à 40 %, de sorte que le droit au versement de sa rente a pris fin dès le 31 août 2017, soit trois mois après l’amélioration précitée (cf. art. 88a al. 1 RAI). Partant, la décision litigieuse du 13 mars 2020 de l’intimé ne prête pas le flanc à la critique.</w:t>
      </w:r>
    </w:p>
    <w:p>
      <w:r>
        <w:rPr>
          <w:b/>
        </w:rPr>
        <w:t>E. 19</w:t>
      </w:r>
    </w:p>
    <w:p>
      <w:r>
        <w:t>Le recours sera donc rejeté.</w:t>
      </w:r>
    </w:p>
    <w:p>
      <w:r>
        <w:rPr>
          <w:b/>
        </w:rPr>
        <w:t>E. 20</w:t>
      </w:r>
    </w:p>
    <w:p>
      <w:r>
        <w:t>Bien que la procédure ne soit pas gratuite en matière d'assurance-invalidité (art. 69 al. 1bis LAI), il n'y a pas lieu de percevoir un émolument, le recourant étant au bénéfice de l'assistance juridique (art. 12 al. 1 du règlement sur les frais, émoluments et indemnités en procédure administrative du 30 juillet 1986 [RFPA - E 5 10.03])</w:t>
      </w:r>
    </w:p>
    <w:p>
      <w:r>
        <w:t>A/1418/2020 - 21/21 -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