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ATAS/291/2010 vom 11. März 2010</w:t>
      </w:r>
    </w:p>
    <w:p>
      <w:r>
        <w:t>GE Cour de justice, 2010-03-11, FR</w:t>
      </w:r>
    </w:p>
    <w:p>
      <w:r>
        <w:rPr>
          <w:b/>
        </w:rPr>
        <w:t xml:space="preserve">Quelle: </w:t>
      </w:r>
      <w:r>
        <w:t>https://mcp.opencaselaw.ch/entscheid/ge_gerichte_ATAS_291_2010</w:t>
      </w:r>
    </w:p>
    <w:p>
      <w:r>
        <w:t>FR: GE_GERICHTE ATAS/291/2010 du 11 mars 2010</w:t>
      </w:r>
    </w:p>
    <w:p>
      <w:r>
        <w:t>IT: GE_GERICHTE ATAS/291/2010 del 11 marzo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w:t>
      </w:r>
    </w:p>
    <w:p>
      <w:r>
        <w:t>A/2291/2009 - 7/11 -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8 juin 2009, est postérieure à l'entrée en vigueur de la LPGA ainsi qu’à l'entrée en vigueur, le 1er janvier 2004, des modifications de la LAI du 21 mars 2003 (4ème révision) et à celle du 1er janvier 2008 relative aux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Interjeté dans la forme et le délai prescrits, le recours est recevable (art. 56 et 60 LPGA).</w:t>
      </w:r>
    </w:p>
    <w:p>
      <w:r>
        <w:rPr>
          <w:b/>
        </w:rPr>
        <w:t>E. 4</w:t>
      </w:r>
    </w:p>
    <w:p>
      <w:r>
        <w:t>L'objet du litige porte sur la question de savoir si la recourante a droit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w:t>
      </w:r>
    </w:p>
    <w:p>
      <w:r>
        <w:t>A/2291/2009 - 8/11 -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w:t>
      </w:r>
    </w:p>
    <w:p>
      <w:r>
        <w:t>A/2291/2009 - 9/11 - des griefs pertinents invoqués par les parties pour la simple raison qu'ils n'auraient pas été prouvés (VSI 5/1994, 220 consid. 4a).</w:t>
      </w:r>
    </w:p>
    <w:p>
      <w:r>
        <w:rPr>
          <w:b/>
        </w:rPr>
        <w:t>E. 7</w:t>
      </w:r>
    </w:p>
    <w:p>
      <w:r>
        <w:t>En l’occurrence, l’intimé est d’avis que la recourante ne présente aucune atteinte à la santé entraînant des répercussions sur sa capacité de travail ou des empêchements dans le ménage, ce que la recourante conteste. a) Sur le plan psychique, le Dr D__________, expert psychiatre, a retenu que la recourante souffre d’un trouble anxieux et dépressif mixte depuis 2007, disparate et non incapacitant. Le Tribunal de céans considère cependant que l’on ne saurait se fonder, sans autres, sur les conclusions de cette expertise, car le Dr D__________ ne s’est pas prononcé en pleine connaissance du dossier médical de la recourante. En effet, cette dernière dit avoir notamment bénéficié d’une prise en charge d’une durée approximative de deux ans par un psychiatre des HUG. Dans ces circonstances, le Tribunal de céans est d’avis que l’on ne saurait statuer sur la question des troubles psychiques dont souffre la recourante sans, à tout le moins, demander confirmation aux HUG et, cas échéant, communication d’un rapport complet qui sera ensuite soumis à l’expert. Ce rapport devra mentionner les diagnostics posés, leurs éventuelles répercussions sur la capacité de travail et/ou sur la capacité d’accomplir les travaux habituels (en précisant la date et à quel taux), ainsi que les raisons pour lesquelles la prise en charge a pris fin. Cette démarche apparaît nécessaire dans la mesure où, s’il est vrai que la recourante allègue que son état de santé psychique se serait amélioré, son médecin traitant, lui, fait état d’un refus de la part de sa patiente d’être suivie sur ce plan (rapport du 12 juin 2008). On ne saurait dès lors, sans autres, tirer la conclusion du fait que la prise en charge a pris fin que c’est parce que l’état de l’assurée s’est amélioré. b) Par ailleurs, s’agissant des troubles somatiques, les rapports médicaux versés à la procédure font état d’une tendinite chronique du sus-épineux gauche depuis 2007, objectivée en outre par une IRM du 28 janvier 2008 (rapport du Dr B__________ du 28 janvier 2008 et rapport du Dr A__________ du 12 juin 2008). Selon le médecin traitant, cette atteinte entraînerait une limitation fonctionnelle du bras gauche dans le port de charges et les mouvements répétitifs du bras (rapports des 12 juin 2008 et 16 septembre 2009). Or, et malgré le fait que le SMR ait préconisé la mise en œuvre d’une enquête ménagère pour évaluer les répercussions de la tendinite chronique sur la capacité de l’assurée à se livrer à ses activités habituelles (Dr C__________, avis du 22 octobre 2008), il y a été renoncé par l’intimé, sans que l’on sache pour quelles raisons. Il apparaît pourtant nécessaire, à la lecture des explications fournies par le médecin traitant, des constatations radiologiques et des considérations du SMR, de soumettre</w:t>
      </w:r>
    </w:p>
    <w:p>
      <w:r>
        <w:t>A/2291/2009 - 10/11 - la recourante à un examen orthopédique, afin de déterminer les répercussions et les limitations fonctionnelles engendrées par cette atteinte sur ses activités ménagères et/ou sur sa capacité de travail. Il ressort de ce qui précède que la question des conséquences des atteintes physiques et psychiques de la recourante n’est pas suffisamment éclaircie. En l’état, le Tribunal de céans considère que le dossier n’est pas en l’état d’être jugé et doit être renvoyé à l’intimé pour instruction complémentaire sur ces points.</w:t>
      </w:r>
    </w:p>
    <w:p>
      <w:r>
        <w:rPr>
          <w:b/>
        </w:rPr>
        <w:t>E. 8</w:t>
      </w:r>
    </w:p>
    <w:p>
      <w:r>
        <w:t>Enfin, le Tribunal de céans rappellera que, lors de l'examen initial du droit à la rente, il appartient à l’administration de déterminer quelle méthode d'évaluation de l'invalidité doit être appliqué (art. 28a LAI). Le choix de l'une des trois méthodes entrant en considération (méthode générale de comparaison des revenus, méthode mixte, méthode spécifique) dépend du statut du bénéficiaire potentiel de la rente : assuré exerçant une activité lucrative à temps complet, assuré non actif, assuré exerçant une activité lucrative à temps partiel. En l’occurrence, le Tribunal de céans constate que la question de savoir quelle méthode doit être retenue ne ressort pas clairement de la décision litigieuse. Qui plus est, les pièces transmises par l’intimé au SMR font état d’un statut de ménagère (document 15 page 1), alors qu’il résulte des explications fournies par la recourante à l’expert, que suite à la séparation de son deuxième mari, elle a notamment vendu des mets thaïlandais à des particuliers et fait des nettoyages pendant environ un an, activités qu’elle dit avoir interrompues en raison de ses problèmes de santé. Compte tenu de qui précède, il incombera également à l’intimé de vérifier notamment si la recourante a effectivement exercé ces activités (le cas échéant, à quel taux). L’intimé invitera en outre la recourante à répondre au questionnaire servant à déterminer le statut des assurés, lequel ne figure pas au dossier. Cela fait, l’intimé se prononcera sur le statut de la recourante et mettra en œuvre, le cas échéant, une enquête ménagère.</w:t>
      </w:r>
    </w:p>
    <w:p>
      <w:r>
        <w:rPr>
          <w:b/>
        </w:rPr>
        <w:t>E. 9</w:t>
      </w:r>
    </w:p>
    <w:p>
      <w:r>
        <w:t>Eu égard aux considérations qui précèdent, le recours est partiellement admis et la décision du 8 juin 2009 annulée. Le dossier est renvoyé à l’intimé pour instruction complémentaire au sens des considérants et nouvelle décision sujette à recours. L'intimé, qui succombe, sera condamné à un émolument de 500 fr. (art. 69 al. 1 bis LAI).</w:t>
      </w:r>
    </w:p>
    <w:p>
      <w:r>
        <w:t>A/2291/2009 - 11/11 -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