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ATAS/291/2008 vom 6. März 2008</w:t>
      </w:r>
    </w:p>
    <w:p>
      <w:r>
        <w:t>GE Cour de justice, 2008-03-06, FR</w:t>
      </w:r>
    </w:p>
    <w:p>
      <w:r>
        <w:rPr>
          <w:b/>
        </w:rPr>
        <w:t xml:space="preserve">Quelle: </w:t>
      </w:r>
      <w:r>
        <w:t>https://mcp.opencaselaw.ch/entscheid/ge_gerichte_ATAS_291_2008</w:t>
      </w:r>
    </w:p>
    <w:p>
      <w:r>
        <w:t>FR: GE_GERICHTE ATAS/291/2008 du 6 mars 2008</w:t>
      </w:r>
    </w:p>
    <w:p>
      <w:r>
        <w:t>IT: GE_GERICHTE ATAS/291/2008 del 6 marzo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Sa compétence pour juger du cas d’espèce est ainsi établie.</w:t>
      </w:r>
    </w:p>
    <w:p>
      <w:r>
        <w:rPr>
          <w:b/>
        </w:rPr>
        <w:t>E. 1.2</w:t>
      </w:r>
    </w:p>
    <w:p>
      <w:r>
        <w:t>; 169 consid. 1 ; 356 consid. 1 et les arrêts cités). La présente cause est ainsi soumise à la LPGA. En ce qui concerne la procédure et à défaut de règles transitoires contraires, le nouveau droit est applicable sans réserve dès le jour de son entrée en vigueur (ATF 117 V 93 consid. 6b; 112 V 360 consid. 4a; RAMA 1998 KV 37 p. 316 consid. 3b).</w:t>
      </w:r>
    </w:p>
    <w:p>
      <w:r>
        <w:t>A/1249/2007 - 8/13 -</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w:t>
      </w:r>
    </w:p>
    <w:p>
      <w:r>
        <w:rPr>
          <w:b/>
        </w:rPr>
        <w:t>E. 3</w:t>
      </w:r>
    </w:p>
    <w:p>
      <w:r>
        <w:t>Le Tribunal de céans constate que le recours, interjeté dans les formes et délai légaux, est recevable (art. 60 LPGA).</w:t>
      </w:r>
    </w:p>
    <w:p>
      <w:r>
        <w:rPr>
          <w:b/>
        </w:rPr>
        <w:t>E. 4</w:t>
      </w:r>
    </w:p>
    <w:p>
      <w:r>
        <w:t>Il convient en l’occurrence de déterminer le degré d'invalidité du recourant.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A/1249/2007 - 9/13 -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En principe, le juge ne s'écarte pas sans motifs impératifs des conclusions d'une expertise médicale,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c)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w:t>
      </w:r>
    </w:p>
    <w:p>
      <w:r>
        <w:t>A/1249/2007 - 10/13 - V 366 consid. 1b et la référence).</w:t>
      </w:r>
    </w:p>
    <w:p>
      <w:r>
        <w:rPr>
          <w:b/>
        </w:rPr>
        <w:t>E. 5</w:t>
      </w:r>
    </w:p>
    <w:p>
      <w:r>
        <w:t>En l'occurrence, se trouvent au dossier plusieurs attestations des médecins traitants, deux expertises du Dr B_________ de septembre 2004 et mars 2005, ainsi qu'une expertise bidisciplinaire du SMR de juillet 2006. La décision de refus de l'OCAI datant du 22 février 2007, l'examen du Tribunal de céans ne prendra dès lors pas en considération les péjorations de l'état de santé de l'assuré qui pourraient éventuellement être survenues postérieurement à cette date. En novembre 2003, le Dr A__________ diagnostique une cervico-brachialgie sur troubles dégénératifs du rachis cervical. Le Dr B_________ évoque quant à lui, en septembre 2004 et en mars 2005, une suspicion de pieds neurologiques allant dans le sens d'une forme légère de la maladie de Charcot Marie, ainsi qu'une pathologie multiple qui se manifeste au niveau du rachis cervical, notamment des cervico-brachialgies C6 gauches sur hernie discale. Ce médecin précise que seuls les facteurs orthopédiques ont une influence sur l'incapacité de travail. Il estime l'incapacité de travail du recourant complète dans son activité de conseiller en assurances en raison des déplacements que cette profession implique. Dans son expertise de septembre 2004, le Dr B_________ précise que la capacité de travail de l'assuré est de 50 % dans son activité habituelle de conseiller en assurances et de 100% dans un travail s'exerçant essentiellement en position assise. Les experts du SMR diagnostiquent pour leur part des métatarsalgies bilatérales persistantes après multiples interventions chirurgicales, des lombalgies récidivantes, des cervicalgies avec brachialgies irritatives à gauche, une hernie discale C5-C6, C6-C7, un status après énucléation traumatique de l'œil droit, une suspicion de la maladie de Marie Charcot, un syndrome du tunnel carpien des deux côtés peu symptomatique, une obésité avec BMI à 29, un tabagisme chronique, des traits de modification de la personnalité suite à une agression avec menace au pistolet. Selon la discussion qu'ils ont eue avec l'assuré, celui-ci peut marcher jusqu'à 50 m, mais au plus 200 à 300 m. Il ne peut pas porter de charges supérieures à 15 kilos ni travailler dans une station debout prolongée. Dès lors, d'un point de vue somatique, les experts estiment le recourant capable d'exercer son métier de conseiller en assurances, puisque ce dernier n'implique pas le port de lourdes charges et permet à l'assuré de se déplacer en voiture ou avec les transports publics. D'un point de vue psychique, les experts ne trouvent pas d'éléments évocateurs d'un syndrome de stress post traumatique ou d'autres troubles psychiatriques. Ils précisent que le tableau actuel est celui d'un homme de bonne constitution psychique, nullement détruit par son vécu, très compétent, qui a toute sa place dans le monde professionnel. L'assuré est actif au quotidien, il conduit, part en vacances, mène une vie sociale riche et s'intéresse notamment au football.</w:t>
      </w:r>
    </w:p>
    <w:p>
      <w:r>
        <w:t>A/1249/2007 - 11/13 - En février 2005, le Dr C_________ reconnaît également à l'assuré une capacité de travail de huit heures par jour en position assise, tout en précisant que le patient peut conserver la position debout deux heures par jour. Le Tribunal de céans constate tout d'abord que l'expertise du SMR a pleine valeur probante au sens de la jurisprudence. Elle est complète, convaincante et bien motivée. Contrairement à ce qu'allègue le recourant, elle tient compte du diagnostic de cervico-brachialgies, tel qu'il ressort des rapports des Drs A__________ et B_________. Quant aux autres critiques du recourant à l'égard de cette expertise, les experts du SMR ont indiqué que leur rapport ne contenait que les allégations de l'expertisé. Il n'y a donc pas à revenir sur ce point. S'agissant des troubles psychiques, le Dr D_________ ne se prononce pas sur la capacité de travail et le Dr E_________ ne produit que de courts rapports, non motivés, qui ne sont pas de nature à remettre en cause les conclusions des experts du SMR. Le Tribunal de céans fera donc siennes les conclusions des experts du SMR, qui se sont penchés en dernier sur l'état de santé du recourant. Il ne se justifie dès lors pas d'ordonner une expertise judiciaire. L'activité de conseiller en assurances, dans la mesure où elle s'exerce essentiellement en position assise, n'implique pas le port de charges et permet à l'assuré de se déplacer en voiture ou en transports publics pour se rendre auprès des clients, paraît tout à fait adaptée aux diverses atteintes de l'assuré, notamment à sa pathologie orthopédique. Enfin, le fait qu'il ait été licencié, pris en compte par l'expert B_________, ne relève pas de l'assurance-invalidité. Par ailleurs, il semblerait que l'assuré présente de nouvelles pathologies aux épaules, comme l'atteste le Dr A__________ dans son rapport du 15 mai 2007. Ces atteintes, qui n'ont jamais été évoquées avant la décision de l'OCAI de février 2007, postérieures à cette dernière, n'ont pas à être prises en considération dans la présente cause, puisque le Tribunal de céans est lié par l'état de fait tel qu'il se présentait au plus tard à la date de la décision de l'intimé. Si le recourant entend faire valoir une aggravation de son état de santé postérieure à la décision litigieuse, il lui est loisible de déposer une nouvelle demande de prestations auprès de l'OCAI.</w:t>
      </w:r>
    </w:p>
    <w:p>
      <w:r>
        <w:rPr>
          <w:b/>
        </w:rPr>
        <w:t>E. 6</w:t>
      </w:r>
    </w:p>
    <w:p>
      <w:r>
        <w:t>Au vu de ce qui précède, il convient de constater que le recours, mal fondé, doit être rejeté. Le recourant qui succombe n'aura pas droit à des dépens. La loi fédérale du 16 décembre 2005 modifiant la LAI est entrée en vigueur le 1er juillet 2006 et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w:t>
      </w:r>
    </w:p>
    <w:p>
      <w:r>
        <w:t>A/1249/2007 - 12/13 - 200 fr. et 1'000 fr. (art. 69 al. 1 bis LAI). En l'espèce, le présent cas est soumis au nouveau droit (ch. II let. c des dispositions transitoires relatives à la modification du 16 décembre 2005). Il sera donc perçu un émolument.</w:t>
      </w:r>
    </w:p>
    <w:p>
      <w:r>
        <w:t>A/1249/2007 - 13/13 -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