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ATAS/290/2026 vom 7. April 2026</w:t>
      </w:r>
    </w:p>
    <w:p>
      <w:r>
        <w:t>GE Cour de justice, 2026-04-07, FR</w:t>
      </w:r>
    </w:p>
    <w:p>
      <w:r>
        <w:rPr>
          <w:b/>
        </w:rPr>
        <w:t xml:space="preserve">Quelle: </w:t>
      </w:r>
      <w:r>
        <w:t>https://mcp.opencaselaw.ch/entscheid/ge_gerichte_ATAS_290_2026</w:t>
      </w:r>
    </w:p>
    <w:p>
      <w:r>
        <w:t>FR: GE_GERICHTE ATAS/290/2026 du 7 avril 2026</w:t>
      </w:r>
    </w:p>
    <w:p>
      <w:r>
        <w:t>IT: GE_GERICHTE ATAS/290/2026 del 7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du refus de l’intimé d’entrer en matière sur la nouvelle demande de prestations du recourant.</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 139 V 176 consid. 5.3 et les références). Aussi n’existe-t-il pas, en droit des assurances sociales, un principe selon lequel l’administration ou le juge devrait</w:t>
      </w:r>
    </w:p>
    <w:p>
      <w:r>
        <w:t>A/3450/2025 - 6/7 - statuer, dans le doute, en faveur de l’assuré (ATF 135 V 39 consid. 6.1 et la référence).</w:t>
      </w:r>
    </w:p>
    <w:p>
      <w:r>
        <w:rPr>
          <w:b/>
        </w:rPr>
        <w:t>E. 3.3</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3.4</w:t>
      </w:r>
    </w:p>
    <w:p>
      <w:r>
        <w:t>Lorsque la première décision de refus est fondée sur le fait que l'assuré ne satisfaisait pas aux conditions d'assurance au moment de la survenance de l'invalidité (cf. art. 6 et 36 LAI), il ne peut prétendre à une rente de l'assurance- invalidité qu'en relation avec un nouveau cas d'assurance, à savoir la survenance d'une atteinte à la santé totalement différente de celle qui prévalait au moment du premier refus et propre, par sa nature et sa gravité, à causer une incapacité de travail de 40% au moins en moyenne sur une année (ATF 136 V 369 consid. 3.1).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9C_472/2016 du 29 novembre 2016 consid. 5.2). Une aggravation de l'état de santé ne justifie pas en principe un nouveau cas d'assurance (arrêts du Tribunal fédéral 9C_592/2015 du 2 mai 2015 consid. 3.2 et 9C_692/2018 du 19 décembre 2018 consid. 4.2.2). Par ailleurs, il n'y a pas d'interruption notable de l'invalidité justifiant un nouveau cas d'assurance lorsque la personne concernée présente une invalidité (partielle) qui, même si elle varie dans le temps, ne disparaît pas entièrement pendant une période donnée (arrêt du Tribunal fédéral 9C_692/2018 du 19 décembre 2018 consid. 4.2.3).</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4</w:t>
      </w:r>
    </w:p>
    <w:p>
      <w:r>
        <w:t>En l'espèce, par décision du 14 octobre 2019, entrée en force, l'intimé a nié au recourant, qui présentait une incapacité de travail complète, le droit à une rente d'invalidité ordinaire, au motif qu'il ne satisfaisait pas aux conditions d'assurance, faute de trois années de cotisations au moment de la survenance de l'invalidité. Le droit à une rente extraordinaire lui a également été refusé, dans la mesure où il était âgé de plus de 20 ans lors de son invalidité (soit en l’occurrence 32 ans). Il s'ensuit que, dans le cadre de la nouvelle demande de prestations, le recourant ne pouvait prétendre à une rente d'invalidité que si l'on pouvait admettre un nouveau cas d'assurance, ce que le recourant n’a pas prétendu. L’état de santé du recourant ne s’est pas modifié à teneur du dossier. C’est dès lors à raison de que l’intimé a refusé d’entrer en matière. Les considérants qui précèdent conduisent ainsi à la confirmation de la décision de refus d’entrer en matière sur la nouvelle demande de prestations et au rejet du recours. Cela étant, le recourant a vraisemblablement adressé une nouvelle demande de prestations en se fondant sur la formulation malheureuse et lacunaire du considérant 7 de l’ATAS/554/2024 rendu par la chambre de céans le 2 juillet 2024, considérant dans lequel la chambre a omis d’indiquer au recourant qu’outre la condition des trois années de cotisation, il devait - pour pouvoir déposer une nouvelle demande - également présenter un nouveau cas d’assurance et justifier de la modification de son état de santé. Dans ces conditions, l’émolument restera à la charge de l’État.</w:t>
      </w:r>
    </w:p>
    <w:p>
      <w:r>
        <w:t>A/3450/2025 - 7/7 -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