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ATAS/290/2019 vom 3. April 2019</w:t>
      </w:r>
    </w:p>
    <w:p>
      <w:r>
        <w:t>GE Cour de justice, 2019-04-03, FR</w:t>
      </w:r>
    </w:p>
    <w:p>
      <w:r>
        <w:rPr>
          <w:b/>
        </w:rPr>
        <w:t xml:space="preserve">Quelle: </w:t>
      </w:r>
      <w:r>
        <w:t>https://mcp.opencaselaw.ch/entscheid/ge_gerichte_ATAS_290_2019</w:t>
      </w:r>
    </w:p>
    <w:p>
      <w:r>
        <w:t>FR: GE_GERICHTE ATAS/290/2019 du 3 avril 2019</w:t>
      </w:r>
    </w:p>
    <w:p>
      <w:r>
        <w:t>IT: GE_GERICHTE ATAS/290/2019 del 3 aprile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A/3914/2018 ATAS/290/2019 COUR DE JUSTICE Chambre des assurances sociales Arrêt du 3 avril 2019 4ème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CANTONAL DE L'EMPLOI, sis rue des Gares 16, GENÈVE</w:t>
      </w:r>
    </w:p>
    <w:p>
      <w:r>
        <w:t>intimé</w:t>
      </w:r>
    </w:p>
    <w:p>
      <w:r>
        <w:t>A/3914/2018 - 2/2 - Vu la décision sur opposition du 11 octobre 2018 de l’office cantonal de l’emploi (ci- après OCE) ; Vu le recours interjeté le 9 novembre 2018 par Monsieur A______ (ci-après le recourant) ; Vu la réponse du 3 janvier 2019 de l’OCE ; Vu l'audience de comparution personnelle des parties du 3 avril 2019 ; Attendu qu'à cette dernière audience le recourant a indiqué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