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ATAS/290/2018 vom 3. April 2018</w:t>
      </w:r>
    </w:p>
    <w:p>
      <w:r>
        <w:t>GE Cour de justice, 2018-04-03, FR</w:t>
      </w:r>
    </w:p>
    <w:p>
      <w:r>
        <w:rPr>
          <w:b/>
        </w:rPr>
        <w:t xml:space="preserve">Quelle: </w:t>
      </w:r>
      <w:r>
        <w:t>https://mcp.opencaselaw.ch/entscheid/ge_gerichte_ATAS_290_2018</w:t>
      </w:r>
    </w:p>
    <w:p>
      <w:r>
        <w:t>FR: GE_GERICHTE ATAS/290/2018 du 3 avril 2018</w:t>
      </w:r>
    </w:p>
    <w:p>
      <w:r>
        <w:t>IT: GE_GERICHTE ATAS/290/2018 del 3 aprile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des modifications concernant le montant des revenus déterminants, entrées en vigueur le 1er janvier 2015.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w:t>
      </w:r>
    </w:p>
    <w:p>
      <w:r>
        <w:t>A/2409/2017 - 7/16 - U 18/07 du 7 février 2008 consid. 1.2). Au vu des faits déterminants, le droit aux prestations complémentaires se détermine selon le droit en vigueur dès le 1er janvier 2015 (ATF 132 V 215 consid. 3.1.1; ATF 127 V 466 consid. 1; arrêt du Tribunal fédéral 9C_935/2010 du 18 février 2011 consid. 2).</w:t>
      </w:r>
    </w:p>
    <w:p>
      <w:r>
        <w:rPr>
          <w:b/>
        </w:rPr>
        <w:t>E. 4</w:t>
      </w:r>
    </w:p>
    <w:p>
      <w:r>
        <w:t>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w:t>
      </w:r>
    </w:p>
    <w:p>
      <w:r>
        <w:rPr>
          <w:b/>
        </w:rPr>
        <w:t>E. 5</w:t>
      </w:r>
    </w:p>
    <w:p>
      <w:r>
        <w:t>S’agissant de la qualité pour recourir du recourant concernant les frais de traitement dentaire de son épouse, le seul fait que celle-ci ait signé la demande en qualité de conjoint ne suffit pas pour en faire une bénéficiaire de prestations complémentaires (titulaire d'un droit propre ou autonome; arrêt du Tribunal fédéral 9C_301/2016 du 25 janvier 2017 consid. 3.2). On ajoutera que le fait qu'elle ait joué un rôle dans le calcul des prestations n'y change rien (arrêt du Tribunal fédéral 9C_638/2014 du 13 août 2015 consid. 6.1). Bénéficiaire d’une rente de vieillesse de l’AVS, elle a, en principe, un droit propre aux prestations complémentaires (art. 4 al. 1 let. a LPC). Toutefois, elle n’en est pas pour autant la bénéficiaire directe de celles-ci, le recourant ayant déposé la demande de prestations pour lui-même. Aux termes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ayant droit aux prestations complémentaires puisqu’il perçoit une rente de vieillesse de l’AVS, le recourant est partie à la procédure, de sorte qu’il possède la qualité pour agir.</w:t>
      </w:r>
    </w:p>
    <w:p>
      <w:r>
        <w:rPr>
          <w:b/>
        </w:rPr>
        <w:t>E. 6</w:t>
      </w:r>
    </w:p>
    <w:p>
      <w:r>
        <w:t>En revanche, le droit de pouvoir annoncer le cas à l'assurance appartient, par analogie avec l'art. 67 al. 1 du règlement sur l'assurance-vieillesse et survivants du 31 octobre 1947 (RAVS - RS 831.101), à l'ayant droit ou, agissant en son nom, à son représentant légal, à son conjoint, à ses parents ou grands-parents, à ses enfants ou petits-enfants, à ses frères et sœurs, ainsi qu'au tiers ou à l'autorité pouvant exiger le versement de la rente (art. 20 al. 1 2ème phrase, de l'ordonnance sur les prestations complémentaires à l’assurance-vieillesse, survivants et invalidité du 15 janvier 1971 (OPC-AVS/AI - RS 831.301; arrêt du Tribunal fédéral 9C_301/2016 du 25 janvier 2017 consid. 3.2). Par conséquent, c’est à juste titre que le recourant a recouru contre la décision concernant la prise en charge des frais dentaires de son épouse.</w:t>
      </w:r>
    </w:p>
    <w:p>
      <w:r>
        <w:rPr>
          <w:b/>
        </w:rPr>
        <w:t>E. 7</w:t>
      </w:r>
    </w:p>
    <w:p>
      <w:r>
        <w:t>a.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w:t>
      </w:r>
    </w:p>
    <w:p>
      <w:r>
        <w:t>A/2409/2017 - 8/16 -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arrêts du Tribunal fédéral 9C_678/2011 du 4 janvier 2012 consid. 3.3 [SVR 2012 IV n° 35 p. 136] et 9C_636/2014 du 10 novembre 2014 consid. 3.1). b. En l’espèce, dans sa décision du 1er février 2017 et sa décision sur opposition du 3 mai 2017 – qui déterminent l’objet de la contestation –, l’intimé a statué sur la prise en charge du devis établi le 7 octobre 2016 par le Dr B______ concernant le traitement des dents 21 et 22 de l’épouse du recourant. Dans son écriture du 13 octobre 2017, le recourant s’en rapporte à justice sur le montant de CHF 3'500.- admis par l’intimé dans sa décision du 9 octobre 2017 au sujet du devis établi le 17 mai 2017 par la Dresse D______ concernant le traitement des dents 14, 17, 21, 22, 25 et 26 de son épouse. Étant donné que le devis du 17 mai 2017 concerne bien les dents 21 et 22, tout comme la décision dont est recours, mais également des dents supplémentaires, soit les dents 25, 17 et 14, il présente un état de fait commun avec la décision litigieuse. De plus, l’intimé a statué par décision du 9 octobre 2017 sur le devis de la Dresse D______, sans que l’on ne sache, toutefois, si cette décision a fait l’objet d’une opposition, respectivement est entrée en force. Par conséquent, les conditions</w:t>
      </w:r>
    </w:p>
    <w:p>
      <w:r>
        <w:t>A/2409/2017 - 9/16 - pour une extension de la procédure au traitement des dents 25, 17 et 14 ne sont pas réalisées.</w:t>
      </w:r>
    </w:p>
    <w:p>
      <w:r>
        <w:rPr>
          <w:b/>
        </w:rPr>
        <w:t>E. 8</w:t>
      </w:r>
    </w:p>
    <w:p>
      <w:r>
        <w:t>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 Par ailleurs, en vertu de l’art. 67 LPA-GE,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w:t>
      </w:r>
    </w:p>
    <w:p>
      <w:r>
        <w:rPr>
          <w:b/>
        </w:rPr>
        <w:t>E. 9</w:t>
      </w:r>
    </w:p>
    <w:p>
      <w:r>
        <w:t>En l’espèce, dans sa duplique du 19 septembre 2017, l’intimé expose que le devis du 17 mai 2017 semble rendre caduc celui du 7 octobre 2016. S’agissant du traitement devisé le 17 mai 2017, il accepte de prendre en charge les soins sur les dents 17 et 25, l’extraction des dents 22, 21 et 14, ainsi que la pose d’une prothèse amovible de type stellite pour remplacer les dents 26, 22, 21 et 14, à concurrence maximale de CHF 3’500.-. Il a formalisé son accord par décision du 9 octobre 2017. Ainsi que toutes les parties en conviennent, de même que le Dr C______, l’établissement du devis du 17 mai 2017 a modifié la situation médicale prévalant à la date de la décision dont est recours, de sorte que les rapports médiaux à disposition nécessitent d’être actualisés. D’un autre côté, étant donné que jusqu’à son préavis du 13 juillet 2017, l’intimé n’a pas annulé sa décision et que par la</w:t>
      </w:r>
    </w:p>
    <w:p>
      <w:r>
        <w:t>A/2409/2017 - 10/16 - suite, par sa décision du 9 octobre 2017, il n’a pas davantage annulé la décision litigieuse, la chambre de céans doit statuer sur le présent recours. À relever que, dans la mesure où le recourant a demandé un devis à la Dresse D______, qui propose un traitement concernant les dents 25, 22, 21, 17 et 14, soit un traitement plus étendu que celui faisant l’objet de la présente procédure, il aurait pu retirer sa demande de prise en charge du devis du Dr B______, qui ne semble plus d’actualité sur le plan médical. En définitive, le litige porte sur la prise en charge par l’intimé du traitement dentaire de l’épouse du recourant concernant les dents 21 et 22 à concurrence de CHF 2'000.-.</w:t>
      </w:r>
    </w:p>
    <w:p>
      <w:r>
        <w:rPr>
          <w:b/>
        </w:rPr>
        <w:t>E. 10</w:t>
      </w:r>
    </w:p>
    <w:p>
      <w:r>
        <w:t>Selon l’art. 14 LPC, les cantons remboursent aux bénéficiaires d’une prestation complémentaire annuelle certains frais de maladie et d’invalidité de l'année civile en cours, s’ils sont dûment établis, notamment les frais de traitement dentaire (al. 1 let. a).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50'000 fr. pour un couple (al. 3 let. a. chiffre 2). Sur le plan cantonal, l'art. 2 al. 1 let. c de la loi sur les prestations fédérales complémentaires à l’assurance-vieillesse et survivants et à l’assurance-invalidité du</w:t>
      </w:r>
    </w:p>
    <w:p>
      <w:r>
        <w:rPr>
          <w:b/>
        </w:rPr>
        <w:t>E. 14</w:t>
      </w:r>
    </w:p>
    <w:p>
      <w:r>
        <w:t>En l’espèce, contrairement à ce qu’affirme le recourant, le bénéficiaire de prestations complémentaires n’a pas droit au meilleur traitement, mais au traitement simple et adéquat le meilleur marché. Pour permettre à la chambre de céans de vérifier si les critères d’adéquation, d’économicité et de simplicité sont réalisés, le rapport du dentiste-conseil doit indiquer les coûts et bénéfices respectifs des traitements envisagés en tenant compte des risques qui leur sont liés. Contrairement à ce que soutient le Dr C______ dans son rapport du 3 juillet 2017, le rôle du dentiste-conseil de l’intimé ne se résume pas à vérifier si le traitement proposé est simple et économique, mais également à procéder à cet examen en tenant compte d’un plan de traitement adéquat. Or, dans son rapport du 20 mars 2017, le Dr C______ n’explique pas en quoi le traitement devisé par le Dr B______ ne respecte pas le critère de l’économicité du traitement, respectivement si le traitement plus simple qu’il préconise permet le rétablissement de la fonction masticatoire sans risques supplémentaires par rapport au traitement devisé. Plus particulièrement, il ne procède pas à une balance détaillée entre coûts, bénéfices et risques de chacune des alternatives thérapeutiques permettant à la chambre de céans de vérifier que plusieurs traitements efficaces et appropriés entrent en ligne de</w:t>
      </w:r>
    </w:p>
    <w:p>
      <w:r>
        <w:t>A/2409/2017 - 14/16 - compte pour garantir le rétablissement de la fonction dentaire et que le traitement le plus économique est proposé. De plus, il ne répond pas aux critiques du recourant quant aux risques de cassure et de fragilisation des dents séquellaires au traitement qu’il préconise. Par conséquent, son rapport est incomplet et insuffisamment étayé pour que la chambre de céans puisse statuer en pleine connaissance de cause sur le droit de l’épouse du recourant à la prise en charge du traitement proposé par le Dr B______. Dès lors, il n’a pas de valeur probante. De plus, depuis le devis du 7 octobre 2016, l’état de santé de l’épouse du recourant s’est aggravé puisque le devis établi le 17 mai 2017 par la Dresse D______ préconise l’extraction de la dent 22 et, en plus, le traitement des dents 14, 17 et 25. Même si ledit devis a été établi quelques jours après la décision dont est recours, il tient compte de faits qui se sont produits avant la date de ladite décision, puisque l’état de santé de l’épouse du recourant ne s’est pas aggravé du jour au lendemain. Par conséquent, il y a lieu de le prendre en considération pour apprécier la légalité de la décision litigieuse. Au vu de cette situation évolutive, il n’existe au dossier aucun rapport médical actuel et détaillé exposant l’état de la dentition de l’épouse du recourant, respectivement permettant à la chambre de céans de statuer en pleine connaissance de cause sur le traitement devisé par le Dr B______ et sur l’appréciation du Dr C______, alors que ceux-ci ne semblent plus d’actualité.</w:t>
      </w:r>
    </w:p>
    <w:p>
      <w:r>
        <w:rPr>
          <w:b/>
        </w:rPr>
        <w:t>E. 15</w:t>
      </w:r>
    </w:p>
    <w:p>
      <w:r>
        <w:t>a.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 (ATF 132 V 368 consid. 6).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w:t>
      </w:r>
    </w:p>
    <w:p>
      <w:r>
        <w:t>A/2409/2017 - 15/16 - notamment lorsqu'il s'agit de préciser un point de l'expertise ordonnée par l'administration ou de demander un complément à l'expert (ATF 137 V 210 consid. 4.4.1.3 et 4.4.1.4; SVR 2010 IV n. 49 p. 151, consid. 3.5; arrêt du Tribunal fédéral 8C_760/2011 du 26 janvier 2012 consid. 3). c. En l’espèce, force est de constater que, faute pour le Dr C______ d’expliquer les coûts, les bénéfices et les risques de chacune des alternatives thérapeutiques en question, la chambre de céans ne dispose pas des éléments médicaux nécessaires pour statuer. Par ailleurs, toutes les parties à la procédure, de même du reste que le Dr C______, conviennent que la situation médicale actuelle n’est ni claire, ni actualisée et qu’il y a lieu de procéder à un complément d’instruction, voire de mettre en œuvre une expertise dentaire auprès d’un spécialiste. Par conséquent, au vu des compléments nécessaires, il convient de renvoyer la cause à l’intimé pour instruction complémentaire sur ces questions et, si nécessaire, pour mise en œuvre d’une expertise dentaire auprès d’un expert indépendant désigné en respectant la procédure prévue par l’art. 44 LPGA.</w:t>
      </w:r>
    </w:p>
    <w:p>
      <w:r>
        <w:rPr>
          <w:b/>
        </w:rPr>
        <w:t>E. 16</w:t>
      </w:r>
    </w:p>
    <w:p>
      <w:r>
        <w:t>Au vu de ce qui précède, le recours sera admis et la décision de l’intimé du 3 mai 2017 annulée. Pour le surplus, la procédure est gratuite (art. 61 let. a LPGA).</w:t>
      </w:r>
    </w:p>
    <w:p>
      <w:r>
        <w:t>A/2409/2017 - 16/16 -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