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ATAS/290/2013 vom 21. März 2013</w:t>
      </w:r>
    </w:p>
    <w:p>
      <w:r>
        <w:t>GE Cour de justice, 2013-03-21, FR</w:t>
      </w:r>
    </w:p>
    <w:p>
      <w:r>
        <w:rPr>
          <w:b/>
        </w:rPr>
        <w:t xml:space="preserve">Quelle: </w:t>
      </w:r>
      <w:r>
        <w:t>https://mcp.opencaselaw.ch/entscheid/ge_gerichte_ATAS_290_2013</w:t>
      </w:r>
    </w:p>
    <w:p>
      <w:r>
        <w:t>FR: GE_GERICHTE ATAS/290/2013 du 21 mars 2013</w:t>
      </w:r>
    </w:p>
    <w:p>
      <w:r>
        <w:t>IT: GE_GERICHTE ATAS/290/2013 del 21 marzo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A/1885/2012 - 6/8 - Sa compétence pour juger du cas d’espèce est ainsi établie.</w:t>
      </w:r>
    </w:p>
    <w:p>
      <w:r>
        <w:rPr>
          <w:b/>
        </w:rPr>
        <w:t>E. 2</w:t>
      </w:r>
    </w:p>
    <w:p>
      <w:r>
        <w:t>Interjeté dans la forme et le délai prévus par la loi, le recours est recevable, en vertu des art. 56ss LPGA.</w:t>
      </w:r>
    </w:p>
    <w:p>
      <w:r>
        <w:rPr>
          <w:b/>
        </w:rPr>
        <w:t>E. 3</w:t>
      </w:r>
    </w:p>
    <w:p>
      <w:r>
        <w:t>Selon l'art. 13 LAI,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 Selon l'art. 1 de l'ordonnance concernant les infirmités congénitales du 9 décembre 1985 (OIC ; RS 831.232.21),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(al. 1).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(al. 2). Selon l'art. 2 OIC, le droit prend naissance au début de l’application des mesures médicales, mais au plus tôt à la naissance accomplie de l’enfant (al. 1).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(al. 2). Sont réputés mesures médicales nécessaires au traitement d’une infirmité congénitale tous les actes dont la science médicale a reconnu qu’ils sont indiqués et qu’ils tendent au but thérapeutique visé d’une manière simple et adéquate (al. 3). Sous le chapitre XVI n° 405 de la liste des infirmités congénitales (Maladies mentales et retards graves du développement) sont cités les troubles du spectre autistique, lorsque leurs symptômes ont été manifestes avant l'accomplissement de la cinquième année.</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A/1885/2012 - 7/8 - sociales, un principe selon lequel l’administration ou le juge devrait statuer, dans le doute, en faveur de l’assuré (ATF 126 V 319 consid. 5a).</w:t>
      </w:r>
    </w:p>
    <w:p>
      <w:r>
        <w:rPr>
          <w:b/>
        </w:rPr>
        <w:t>E. 5</w:t>
      </w:r>
    </w:p>
    <w:p>
      <w:r>
        <w:t>En l'espèce, l'intimé conteste l'apparition des symptômes du syndrome d'Asperger avant l'accomplissement de la cinquième année du recourant de sorte qu'il convient d'instruire cette question. Le Dr G__________ ayant rendu, à la demande du Tribunal tutélaire, une expertise le 18 octobre 2012, il se justifie de lui confier la présente mission d'expertise.</w:t>
      </w:r>
    </w:p>
    <w:p>
      <w:r>
        <w:rPr>
          <w:b/>
        </w:rPr>
        <w:t>E. 6</w:t>
      </w:r>
    </w:p>
    <w:p>
      <w:r>
        <w:t>En conséquence, il convient d'ordonner une expertise psychiatrique, laquelle sera confiée au Dr G__________, spécialiste FMH en psychiatrie et psychothérapie, à Genève. Les questions proposées par les parties seront ajoutées, étant précisé que la question proposée par le recourant sera modifiée, le problème pertinent n'étant pas tant de savoir si les chercheurs scientifiques cités proposent une explication génétique au syndrome que celle de savoir si ledit syndrome à bien une cause génétique. Enfin, il se justifie de mandater le Dr G__________ au vue de l'expertise réalisée le 18 octobre 2012 et dans laquelle le diagnostic du syndrome d'Asperger a été posé.</w:t>
      </w:r>
    </w:p>
    <w:p>
      <w:r>
        <w:t>A/1885/2012 - 8/8 - PAR CES MOTIFS, LA CHAMBRE DES ASSURANCES SOCIALES : Statuant Préparatoirement : 1. Ordonne une expertise médicale. La confie au Dr G__________. Dit que la mission d’expertise sera la suivante : 2. Prendre connaissance du dossier de la cause et répondre aux questions suivantes : a. Quel diagnostic psychiatrique doit-il être posé chez M. P__________ ? b. Quels sont les symptômes du syndrome d'Asperger (F 84.5) ? c. Les causes du syndrome d'Asperger sont-elles génétiques ? d. Les symptômes du syndrome d'Asperger (F 84.5) dont souffre M. P__________, ont-ils été manifestes, au degré de la vraisemblance prépondérante, avant l'accomplissement de sa cinquième année ? Si oui, pour quels motifs ? Si non, à partir de quelle années ces symptômes ont-ils été manifestes ? e. Existe-t-il des éléments objectifs permettant de certifier ou d'admettre avec vraisemblance prépondérante que le patient présentait avant la fin de la 5ème année de vie des symptômes manifestes d'un trouble du spectre autistique ? f. Faire toutes autres observations ou suggestions utiles. 3. Réserve le sort des frais jusqu’à droit jugé au fond.</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