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ATAS/28/2024 vom 18. Januar 2024</w:t>
      </w:r>
    </w:p>
    <w:p>
      <w:r>
        <w:t>GE Cour de justice, 2024-01-18, FR</w:t>
      </w:r>
    </w:p>
    <w:p>
      <w:r>
        <w:rPr>
          <w:b/>
        </w:rPr>
        <w:t xml:space="preserve">Quelle: </w:t>
      </w:r>
      <w:r>
        <w:t>https://mcp.opencaselaw.ch/entscheid/ge_gerichte_ATAS_28_2024</w:t>
      </w:r>
    </w:p>
    <w:p>
      <w:r>
        <w:t>FR: GE_GERICHTE ATAS/28/2024 du 18 janvier 2024</w:t>
      </w:r>
    </w:p>
    <w:p>
      <w:r>
        <w:t>IT: GE_GERICHTE ATAS/28/2024 del 18 gennaio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qui est applicable au cas d’espèce.</w:t>
      </w:r>
    </w:p>
    <w:p>
      <w:r>
        <w:rPr>
          <w:b/>
        </w:rPr>
        <w:t>E. 3</w:t>
      </w:r>
    </w:p>
    <w:p>
      <w:r>
        <w:t>Il s'agit, en l'occurrence, d'examiner à titre préalable la recevabilité du recours.</w:t>
      </w:r>
    </w:p>
    <w:p>
      <w:r>
        <w:rPr>
          <w:b/>
        </w:rPr>
        <w:t>E. 4.1</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[LPA - E 5 10]).</w:t>
      </w:r>
    </w:p>
    <w:p>
      <w:r>
        <w:rPr>
          <w:b/>
        </w:rPr>
        <w:t>E. 4.2</w:t>
      </w:r>
    </w:p>
    <w:p>
      <w:r>
        <w:t>La LPA prévoit, à son art. 64 al. 1, que le recours est formé par écrit. La signature olographe originale est une condition nécessaire à la recevabilité du recours (Code annoté de procédure administrative genevoise, GRODECKI/JORDAN, Berne, 2017, p. 213, N. 798). La signature manuscrite doit en principe figurer sur l’acte de recours lui-même, mais il peut suffire qu’elle se trouve sur une lettre d’accompagnement ou au dos de l’enveloppe qui le contient (arrêt du tribunal fédéral 1C_39/2013 du 11 mars 2013 consid. 2.4 ; GRODECKI/JORDAN, op. cit. , p. 213, N. 800). Étant rappelé que la communication électronique n’est, en l’état, pas admise pour la procédure administrative contentieuse à teneur de l’art. 18A al. 6 LPA, LPA qui précise en outre que la communication électronique ne s’applique pas à la procédure de recours (art. 57 à 89), ni à la procédure devant la chambre des assurances sociales (art. 89A à 89I).</w:t>
      </w:r>
    </w:p>
    <w:p>
      <w:r>
        <w:rPr>
          <w:b/>
        </w:rPr>
        <w:t>E. 4.3</w:t>
      </w:r>
    </w:p>
    <w:p>
      <w:r>
        <w:t>S’agissant spécifiquement de la procédure devant la chambre des assurances sociales, l’art. 89B al. 1 LPA stipule, notamment, que le recours doit être adressé à</w:t>
      </w:r>
    </w:p>
    <w:p>
      <w:r>
        <w:t>- 4/5-</w:t>
      </w:r>
    </w:p>
    <w:p>
      <w:r>
        <w:t>A/4081/2023 la chambre de céans en deux exemplaires, soit par une lettre soit par un mémoire signé ; en cas d’inobservation de ces règles, l’al. 3 prévoit que la chambre de céans doit impartir un délai convenable à l’auteur pour compléter sa lettre ou son mémoire, en indiquant qu’en cas d’inobservation, le recours sera écarté.</w:t>
      </w:r>
    </w:p>
    <w:p>
      <w:r>
        <w:rPr>
          <w:b/>
        </w:rPr>
        <w:t>E. 5</w:t>
      </w:r>
    </w:p>
    <w:p>
      <w:r>
        <w:t>Dans le cas d’espèce, la chambre de céans a respecté cette disposition en impartissant au Conseil de la recourante, par courrier du 6 décembre 2023, un délai échéant au 3 janvier 2024, pour transmettre son recours signé. En dépit de ce rappel, le Conseil de la recourante n’a jamais fait figurer sa signature manuscrite sur les documents qu’il a transmis, ni dans son courriel du 20 novembre 2023 adressé à Allianz, ni dans sa communication du 3 décembre 2023 (recte : 3 janvier 2024), adressée à la chambre de céans. S’agissant d’un mandataire professionnellement qualifié, le Conseil de la recourante ne pouvait ignorer la nécessité de respecter les conditions de forme du recours, ce d’autant moins que son attention avait été attirée particulièrement sur ce point, par courrier du 6 décembre 2023, l’informant des conséquences en cas d’omission de signer le recours. Compte tenu de ce qui précède, le recours doit être déclaré irrecevable pour omission de la signature manuscrite.</w:t>
      </w:r>
    </w:p>
    <w:p>
      <w:r>
        <w:rPr>
          <w:b/>
        </w:rPr>
        <w:t>E. 6</w:t>
      </w:r>
    </w:p>
    <w:p>
      <w:r>
        <w:t>Pour le surplus, en l’absence de loi spéciale prévoyant des frais judiciaires, la procédure est gratuite (art. 61 let. fbis LPGA).</w:t>
      </w:r>
    </w:p>
    <w:p>
      <w:r>
        <w:t>- 5/5-</w:t>
      </w:r>
    </w:p>
    <w:p>
      <w:r>
        <w:t>A/4081/2023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