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ATAS/289/2022 vom 23. März 2022</w:t>
      </w:r>
    </w:p>
    <w:p>
      <w:r>
        <w:t>GE Cour de justice, 2022-03-23, FR</w:t>
      </w:r>
    </w:p>
    <w:p>
      <w:r>
        <w:rPr>
          <w:b/>
        </w:rPr>
        <w:t xml:space="preserve">Quelle: </w:t>
      </w:r>
      <w:r>
        <w:t>https://mcp.opencaselaw.ch/entscheid/ge_gerichte_ATAS_289_2022</w:t>
      </w:r>
    </w:p>
    <w:p>
      <w:r>
        <w:t>FR: GE_GERICHTE ATAS/289/2022 du 23 mars 2022</w:t>
      </w:r>
    </w:p>
    <w:p>
      <w:r>
        <w:t>IT: GE_GERICHTE ATAS/289/2022 del 23 marzo 2022</w:t>
      </w:r>
    </w:p>
    <w:p>
      <w:pPr>
        <w:pStyle w:val="Heading2"/>
      </w:pPr>
      <w:r>
        <w:t>Erwägungen</w:t>
      </w:r>
    </w:p>
    <w:p>
      <w:r>
        <w:rPr>
          <w:b/>
        </w:rPr>
        <w:t>E. 1.1</w:t>
      </w:r>
    </w:p>
    <w:p>
      <w:r>
        <w:t>La chambre des assurances sociales de la Cour de justice connaît en instance unique des contestations prévues à l’art. 56 LPGA relatives à la loi fédérale sur les allocations familiales, du 24 mars 2006 (LAFam - RS 836.2). Elle statue aussi, en application de l'art. 134 al. 3 let. e de la loi sur l'organisation judiciaire du 26 septembre 2010 (LOJ - E 2 05), sur les contestations prévues à l'art. 38A de la LAF.</w:t>
      </w:r>
    </w:p>
    <w:p>
      <w:r>
        <w:t>A/4223/2021 - 4/10 - En dérogation à l’art. 58 al. 1 et 2 LPGA, les décisions prises par les caisses de compensation pour allocations familiales peuvent faire l’objet d’un recours devant le tribunal des assurances du canton dont le régime d’allocations familiales est appliqué (art. 22 LAFam).</w:t>
      </w:r>
    </w:p>
    <w:p>
      <w:r>
        <w:rPr>
          <w:b/>
        </w:rPr>
        <w:t>E. 1.2</w:t>
      </w:r>
    </w:p>
    <w:p>
      <w:r>
        <w:t>En l’espèce, la décision querellée a été prise par l’intimée, sise à Genève, qui applique, en sus de la loi fédérale, le régime genevois d’allocations familiales. La compétence ratione materiae et loci de la chambre de céans est ainsi établie.</w:t>
      </w:r>
    </w:p>
    <w:p>
      <w:r>
        <w:rPr>
          <w:b/>
        </w:rPr>
        <w:t>E. 2</w:t>
      </w:r>
    </w:p>
    <w:p>
      <w:r>
        <w:t>Dans la mesure où elle porte sur les allocations perçues à tort entre le 1er novembre 2013 et le 31 octobre 2017, soit sur une période antérieure à l'entrée en vigueur, le 1er janvier 2021, des modifications des 22 mars, 20 décembre 2019 et 14 octobre 2020 de la LPGA, la demande de remise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dans les forme et délai prévus par la loi, le recours est recevable (art. 56 ss LPGA et 38A LAF).</w:t>
      </w:r>
    </w:p>
    <w:p>
      <w:r>
        <w:rPr>
          <w:b/>
        </w:rPr>
        <w:t>E. 4</w:t>
      </w:r>
    </w:p>
    <w:p>
      <w:r>
        <w:t>Bien que le recourant ait formé sa demande de remise le 18 décembre 2017, dans le délai d’opposition à la décision de restitution du 16 novembre 2017, il n’y a pas lieu de considérer sa demande comme une opposition. En effet, ses conclusions, arguments et développements juridiques - qu'il a ensuite repris dans son recours - portaient clairement et uniquement sur la question de la remise de l'obligation de restitution et il était assisté d’un conseil. Ainsi, c’est à juste titre que l’intimée ne s’est prononcée que sur la demande de remise et le présent litige ne porte que sur cette question (voir arrêt du Tribunal fédéral 8C_77/2018 du 30 avril 2018).</w:t>
      </w:r>
    </w:p>
    <w:p>
      <w:r>
        <w:rPr>
          <w:b/>
        </w:rPr>
        <w:t>E. 4.1.1</w:t>
      </w:r>
    </w:p>
    <w:p>
      <w:r>
        <w:t>À teneur de l’art. 25 al. 1 LPGA, les prestations indûment touchées doivent être restituées, la restitution ne pouvant toutefois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4.1.2</w:t>
      </w:r>
    </w:p>
    <w:p>
      <w:r>
        <w:t>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w:t>
      </w:r>
    </w:p>
    <w:p>
      <w:r>
        <w:t>A/4223/2021 - 5/10 - toute modification des circonstances déterminantes est l'expression du principe de la bonne foi entre administration et administré (ATF 140 IV 11 consid. 2.4.5 p. 17 et les références). Le fait de savoir si et dans quelle mesure l’obligation d’aviser a été respectée ou non pourra être jugé en fonction du cas particulier. Est déterminante l’attention qu’on est en droit d’attendre de la personne concernée. Il s’agira de prendre en considération les capacités, le niveau de formation et la capacité de discernement de la personne. Il y aura lieu d’examiner si la personne a été informée au préalable de son obligation d’informer, en particulier sur tout changement lié à son état civil, sur la reprise d’une activité lucrative ou sur la modification de son état de santé. De manière générale, les assureurs sociaux rappellent aux ayants droit leur obligation d’informer, en cas de modification des circonstances. (Guy LONGCHAMP in Commentaire romand LPGA, 2018 n. 13 et 14 ad art. 31 LPGA). Les exigences quant à la manière de transmettre la modification de circonstances ne doivent pas être trop élevées. Il suffit que la modification soit signifiée à l’organe compétent, quelle que soit la forme employée (même oralement), quitte à ce que celui-ci formule des demandes complémentaires. L’avis de la modification doit intervenir dès la connaissance des faits, sous la forme d’une seule annonce à l’assureur compétent. La personne concernée doit remplir son obligation personnellement. L’annonce doit intervenir spontanément, et non sur demande de l’assureur (Ibid. n. 16 ad art. 31 LPGA)</w:t>
      </w:r>
    </w:p>
    <w:p>
      <w:r>
        <w:rPr>
          <w:b/>
        </w:rPr>
        <w:t>E. 4.1.3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t>A/4223/2021 - 6/10 -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La condition de la bonne foi a notamment été niée dans le cas d’un bénéficiaire d'allocations familiales, qui avait omis d'informer les autorités du déménagement à l'étranger de son fils. Dans ce cas, le Tribunal fédéral a retenu que bien qu'il ait pu raisonnablement déduire de la convention de divorce qu'il avait toujours droit aux allocations familiales pour son fils, une fois celui-ci installé à l'étranger, cela n'était pas suffisant pour admettre sa bonne foi. Il lui incombait en l'occurrence de signaler ce changement de situation, tout comme son divorce, conformément à l'art. 31 al. 1 LPGA. Or, en omettant de le faire, l'assuré avait fait preuve de négligence grave, excluant sa bonne foi (arrêt du Tribunal fédéral 8C_364/2019 du 9 juillet 2020 consid. 5.3).</w:t>
      </w:r>
    </w:p>
    <w:p>
      <w:r>
        <w:rPr>
          <w:b/>
        </w:rPr>
        <w:t>E. 4.2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w:t>
      </w:r>
    </w:p>
    <w:p>
      <w:r>
        <w:t>A/4223/2021 - 7/10 -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4.3</w:t>
      </w:r>
    </w:p>
    <w:p>
      <w:r>
        <w:t>En l'espèce, l'intimée a rejeté la demande de remise, au motif que la condition de la bonne foi n’était pas réalisée, le recourant n'ayant pas respecté son obligation de renseigner. Il s’agit ainsi d’examiner si le recourant peut être considéré comme ayant été de bonne foi. À ce propos, ce dernier soutient avoir dûment pris le soin d'annoncer le départ de ses filles auprès du service compétent en la matière, à savoir l'OCPM. Il pouvait légitimement s'attendre à une transmission automatique des informations entre les autorités administratives cantonales. L'intimée ayant attendu plus de quatre ans pour lui signaler son erreur, il en avait déduit, de bonne foi, que le départ de ses filles n'entraînait aucune conséquence sur la perception des allocations. Son comportement ne pouvait dès lors pas être qualifié de violation grave de son devoir d'annoncer et de renseigner. Le recourant ne conteste pas avoir connu son obligation d'annoncer le déménagement de ses enfants, devoir qui est d'ailleurs mentionné clairement dans les décisions d'octroi des allocations et à l'occasion de chaque révision de celles- ci. Il expose cependant avoir pensé, de bonne foi, avoir rempli cette obligation en informant l'OCPM. Toutefois, il ressort clairement de la loi que le bénéficiaire a l'obligation de renseigner l'organe compétent. Or, le recourant n'ignorait pas recevoir ces allocations de la part de l'intimée et non de l'OCPM, qui n’est pas compétent en matière d'allocations familiales. En outre, les décisions de l'intimée mentionnaient clairement que le déménagement d'enfants devait lui être communiqué à elle. Le recourant n'avait dès lors nul besoin d'avoir une connaissance approfondie du système administratif genevois pour savoir quelle autorité informer. À tout le moins, voyant que son annonce de déménagement à l'OCPM n'avait rien modifié à son droit de percevoir des allocations, le recourant ne pouvait pas se reposer sur la supposition que les autorités administratives communiquaient entre elles et aurait dû vérifier auprès de l'intimée – même par un simple appel téléphonique – que l'information lui avait bien été transmise. Ce d'autant qu'il était également pleinement informé du fait que, dans le cas d'enfants domiciliés à l'étranger, les allocations familiales n'étaient versées que si une convention internationale le prévoyait. Ainsi, s'il ne pouvait lui être demandé de savoir qu’une telle convention existait entre la Suisse et le Maroc, il ne pouvait se contenter de déduire du fait de continuer à percevoir les allocations – d'une</w:t>
      </w:r>
    </w:p>
    <w:p>
      <w:r>
        <w:t>A/4223/2021 - 8/10 - autorité qu'il n'avait pas directement renseignée – qu'il restait en droit de toucher ces montants. Il lui appartenait de se renseigner en contactant l'intimée. Dès lors, le recourant n'a pas rempli correctement le devoir d'information qui lui incombait, se rendant ainsi coupable, si ce n'est d'une omission intentionnelle, à tout le moins d'une négligence qui n'a pas été simplement légère, mais a revêtu un caractère de gravité suffisant pour que la condition de la bonne foi ne puisse être considérée comme étant réalisée. Il en découle que les conditions d'une remise au sens de l'art. 25 al. 1 LPGA ne sont pas réalisées. La situation financière de l'intéressé n’a pas à être examinée pour le surplus, dès lors qu’il suffit d’une condition non réalisée pour nier le droit à la remise.</w:t>
      </w:r>
    </w:p>
    <w:p>
      <w:r>
        <w:rPr>
          <w:b/>
        </w:rPr>
        <w:t>E. 5</w:t>
      </w:r>
    </w:p>
    <w:p>
      <w:r>
        <w:t>Le recourant soutient également que l'intimée a violé le principe de la célérité en rejetant son opposition, par une décision standard et sans avoir procédé à une instruction, plus de trois ans après qu'il l'a déposée.</w:t>
      </w:r>
    </w:p>
    <w:p>
      <w:r>
        <w:rPr>
          <w:b/>
        </w:rPr>
        <w:t>E. 5.1.1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À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ceux-ci sont inévitables dans une procédure. Une organisation déficiente ou une surcharge structurelle ne peuvent cependant justifier la lenteur excessive d'une procédure; il appartient en effet à l'État d'organiser ses juridictions de manière à garantir aux citoyens une administration de la justice conforme aux règles (ATF 130 I 312 consid. 5.2 et les références).</w:t>
      </w:r>
    </w:p>
    <w:p>
      <w:r>
        <w:t>A/4223/2021 - 9/10 -</w:t>
      </w:r>
    </w:p>
    <w:p>
      <w:r>
        <w:rPr>
          <w:b/>
        </w:rPr>
        <w:t>E. 5.1.2</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du Tribunal fédéral 9C_426/2011 du 14 décembre 2011 consid. 3.3).</w:t>
      </w:r>
    </w:p>
    <w:p>
      <w:r>
        <w:rPr>
          <w:b/>
        </w:rPr>
        <w:t>E. 5.1.3</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w:t>
      </w:r>
    </w:p>
    <w:p>
      <w:r>
        <w:rPr>
          <w:b/>
        </w:rPr>
        <w:t>E. 5.1.4</w:t>
      </w:r>
    </w:p>
    <w:p>
      <w:r>
        <w:t>Dès que l'autorité a statué, le justiciable perd en principe tout intérêt juridique à faire constater un éventuel retard à statuer (ATF 136 III 497 consid. 2.1; arrêt du Tribunal fédéral 2C_1069/2019 du 14 avril 2020 consid. 5.1 in fine et 5.2).</w:t>
      </w:r>
    </w:p>
    <w:p>
      <w:r>
        <w:rPr>
          <w:b/>
        </w:rPr>
        <w:t>E. 5.2</w:t>
      </w:r>
    </w:p>
    <w:p>
      <w:r>
        <w:t>En l’espèce, l'intimée a statué sur l'opposition du recourant le 5 novembre 2021 – soit avant le dépôt du recours le 13 décembre 2021 dans lequel le grief de la violation du principe de célérité a été soulevé pour la première fois – de sorte que ce grief est sans objet, faute d'intérêt actuel à la constatation d'une telle violation.</w:t>
      </w:r>
    </w:p>
    <w:p>
      <w:r>
        <w:rPr>
          <w:b/>
        </w:rPr>
        <w:t>E. 6</w:t>
      </w:r>
    </w:p>
    <w:p>
      <w:r>
        <w:t>Infondé, le recours doit être rejeté.</w:t>
      </w:r>
    </w:p>
    <w:p>
      <w:r>
        <w:rPr>
          <w:b/>
        </w:rPr>
        <w:t>E. 7</w:t>
      </w:r>
    </w:p>
    <w:p>
      <w:r>
        <w:t>Pour le surplus la procédure est gratuite (art. 61 let. fbis a contrario LPGA).</w:t>
      </w:r>
    </w:p>
    <w:p>
      <w:r>
        <w:t>A/4223/2021 - 10/10 -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