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ATAS/289/2013 vom 20. März 2013</w:t>
      </w:r>
    </w:p>
    <w:p>
      <w:r>
        <w:t>GE Cour de justice, 2013-03-20, FR</w:t>
      </w:r>
    </w:p>
    <w:p>
      <w:r>
        <w:rPr>
          <w:b/>
        </w:rPr>
        <w:t xml:space="preserve">Quelle: </w:t>
      </w:r>
      <w:r>
        <w:t>https://mcp.opencaselaw.ch/entscheid/ge_gerichte_ATAS_289_2013</w:t>
      </w:r>
    </w:p>
    <w:p>
      <w:r>
        <w:t>FR: GE_GERICHTE ATAS/289/2013 du 20 mars 2013</w:t>
      </w:r>
    </w:p>
    <w:p>
      <w:r>
        <w:t>IT: GE_GERICHTE ATAS/289/2013 del 20 marzo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w:t>
      </w:r>
    </w:p>
    <w:p>
      <w:r>
        <w:t>- 8/11-</w:t>
      </w:r>
    </w:p>
    <w:p>
      <w:r>
        <w:t>A/2503/2012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w:t>
      </w:r>
    </w:p>
    <w:p>
      <w:r>
        <w:t>- 9/11-</w:t>
      </w:r>
    </w:p>
    <w:p>
      <w:r>
        <w:t>A/2503/2012 pas lieu de distinguer entre les différentes atteintes à la santé (arrêt du Tribunal fédéral 9C_395/2007, consid. 2.4).</w:t>
      </w:r>
    </w:p>
    <w:p>
      <w:r>
        <w:rPr>
          <w:b/>
        </w:rPr>
        <w:t>E. 2</w:t>
      </w:r>
    </w:p>
    <w:p>
      <w:r>
        <w:t>En l'espèce, l'appréciation de l'état de santé et de la capacité de travail par les experts du BREM et par le médecin traitant sont diamétralement opposés. Par ailleurs, même le médecin du SMR recommande de procéder à une expertise judicaire, ce que l'intimé reprend dans ses conclusions. Cela étant, la Cour juge nécessaire de soumettre le recourant à une expertise psychiatrique judiciaire.</w:t>
      </w:r>
    </w:p>
    <w:p>
      <w:r>
        <w:rPr>
          <w:b/>
        </w:rPr>
        <w:t>E. 3</w:t>
      </w:r>
    </w:p>
    <w:p>
      <w:r>
        <w:t>Quant à la mission d'expertise, la Cour estime qu'il n'y a pas lieu de la compléter. En effet, la question suggérée par le SMR concernant le taux de capacité de travail dans l'activité habituelle ou une autre activité adaptée est déjà contenue à la question 7 communiquée aux parties, étant précisé que l'activité habituelle était celle de chauffeur. Par ailleurs, à la question 8, il est demandé comment la capacité de travail a évolué depuis l'expertise du BREM, ce qui revient à demander depuis quand l'assuré peut éventuellement effectuer une activité adaptée aux limitations fonctionnelles psychiatriques, tel que requis par le médecin du SMR.</w:t>
      </w:r>
    </w:p>
    <w:p>
      <w:r>
        <w:rPr>
          <w:b/>
        </w:rPr>
        <w:t>E. 4</w:t>
      </w:r>
    </w:p>
    <w:p>
      <w:r>
        <w:t>L'expertise sera confiée au Dr Q__________.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